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AE64" w14:textId="285A3C6E" w:rsidR="009F053B" w:rsidRDefault="00C921DD">
      <w:pPr>
        <w:rPr>
          <w:rFonts w:ascii="Calibri" w:hAnsi="Calibri" w:cs="Calibri"/>
          <w:color w:val="C00000"/>
        </w:rPr>
      </w:pPr>
      <w:r w:rsidRPr="00064EBB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48A59" wp14:editId="38EB4242">
                <wp:simplePos x="0" y="0"/>
                <wp:positionH relativeFrom="margin">
                  <wp:posOffset>-83185</wp:posOffset>
                </wp:positionH>
                <wp:positionV relativeFrom="topMargin">
                  <wp:posOffset>851758</wp:posOffset>
                </wp:positionV>
                <wp:extent cx="5840730" cy="5559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04C04" w14:textId="7E520A47" w:rsidR="005732E4" w:rsidRDefault="003520AF" w:rsidP="005732E4">
                            <w:pPr>
                              <w:pStyle w:val="default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  <w:lang w:val="en-US" w:eastAsia="en-US"/>
                              </w:rPr>
                              <w:t>Freedom of Information Request</w:t>
                            </w:r>
                          </w:p>
                          <w:p w14:paraId="60F505A2" w14:textId="126FED54" w:rsidR="00D02B60" w:rsidRPr="00DF302E" w:rsidRDefault="004C510E" w:rsidP="005732E4">
                            <w:pPr>
                              <w:pStyle w:val="default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n-US" w:eastAsia="en-US"/>
                              </w:rPr>
                              <w:t>May</w:t>
                            </w:r>
                            <w:r w:rsidR="00DF302E" w:rsidRPr="00DF302E"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n-US" w:eastAsia="en-U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67.05pt;width:459.9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+K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" stroked="f">
                <v:textbox>
                  <w:txbxContent>
                    <w:p w14:paraId="72B04C04" w14:textId="7E520A47" w:rsidR="005732E4" w:rsidRDefault="003520AF" w:rsidP="005732E4">
                      <w:pPr>
                        <w:pStyle w:val="default"/>
                        <w:shd w:val="clear" w:color="auto" w:fill="FFFFFF"/>
                        <w:jc w:val="both"/>
                        <w:rPr>
                          <w:rFonts w:ascii="Calibri" w:hAnsi="Calibri" w:cs="Calibri"/>
                          <w:b/>
                          <w:sz w:val="32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20"/>
                          <w:lang w:val="en-US" w:eastAsia="en-US"/>
                        </w:rPr>
                        <w:t>Freedom of Information Request</w:t>
                      </w:r>
                    </w:p>
                    <w:p w14:paraId="60F505A2" w14:textId="126FED54" w:rsidR="00D02B60" w:rsidRPr="00DF302E" w:rsidRDefault="004C510E" w:rsidP="005732E4">
                      <w:pPr>
                        <w:pStyle w:val="default"/>
                        <w:shd w:val="clear" w:color="auto" w:fill="FFFFFF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n-US" w:eastAsia="en-US"/>
                        </w:rPr>
                        <w:t>May</w:t>
                      </w:r>
                      <w:r w:rsidR="00DF302E" w:rsidRPr="00DF302E"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n-US" w:eastAsia="en-US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6F3AF0" w14:textId="2EF3F8B0" w:rsidR="005732E4" w:rsidRDefault="009F053B">
      <w:pPr>
        <w:rPr>
          <w:rFonts w:ascii="Calibri" w:hAnsi="Calibri" w:cs="Calibri"/>
          <w:color w:val="C00000"/>
        </w:rPr>
      </w:pPr>
      <w:r w:rsidRPr="00064EBB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5B342" wp14:editId="74648697">
                <wp:simplePos x="0" y="0"/>
                <wp:positionH relativeFrom="margin">
                  <wp:posOffset>-84455</wp:posOffset>
                </wp:positionH>
                <wp:positionV relativeFrom="page">
                  <wp:posOffset>541985</wp:posOffset>
                </wp:positionV>
                <wp:extent cx="5847715" cy="505460"/>
                <wp:effectExtent l="0" t="0" r="635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B145" w14:textId="11DF6B28" w:rsidR="005732E4" w:rsidRPr="00D02B60" w:rsidRDefault="00D02B60" w:rsidP="005732E4">
                            <w:pPr>
                              <w:pStyle w:val="default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 xml:space="preserve">Assessing variation in </w:t>
                            </w:r>
                            <w:r w:rsidR="00DF302E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A</w:t>
                            </w:r>
                            <w:r w:rsidR="00782984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 xml:space="preserve">xial </w:t>
                            </w:r>
                            <w:r w:rsidR="00DF302E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S</w:t>
                            </w:r>
                            <w:r w:rsidR="00475610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pondyloarthritis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="00DF302E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.65pt;margin-top:42.7pt;width:460.4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" stroked="f">
                <v:textbox>
                  <w:txbxContent>
                    <w:p w14:paraId="1C3DB145" w14:textId="11DF6B28" w:rsidR="005732E4" w:rsidRPr="00D02B60" w:rsidRDefault="00D02B60" w:rsidP="005732E4">
                      <w:pPr>
                        <w:pStyle w:val="default"/>
                        <w:shd w:val="clear" w:color="auto" w:fill="FFFFFF"/>
                        <w:jc w:val="both"/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 xml:space="preserve">Assessing variation in </w:t>
                      </w:r>
                      <w:r w:rsidR="00DF302E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A</w:t>
                      </w:r>
                      <w:r w:rsidR="00782984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 xml:space="preserve">xial </w:t>
                      </w:r>
                      <w:r w:rsidR="00DF302E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S</w:t>
                      </w:r>
                      <w:r w:rsidR="00475610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pondyloarthritis</w:t>
                      </w:r>
                      <w:r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 xml:space="preserve"> </w:t>
                      </w:r>
                      <w:r w:rsidR="00DF302E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ervices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535C70E" w14:textId="1A481AA2" w:rsidR="00094E6C" w:rsidRPr="005B232E" w:rsidRDefault="00DE7F7C" w:rsidP="00094E6C">
      <w:pPr>
        <w:rPr>
          <w:rFonts w:cs="ACaslonPro-Regular"/>
          <w:b/>
        </w:rPr>
      </w:pPr>
      <w:r w:rsidRPr="005B232E">
        <w:rPr>
          <w:rFonts w:cs="ACaslonPro-Regular"/>
          <w:b/>
        </w:rPr>
        <w:t>About you</w:t>
      </w:r>
    </w:p>
    <w:p w14:paraId="404D9560" w14:textId="77777777" w:rsidR="008F7E4E" w:rsidRDefault="00080F59" w:rsidP="008F7E4E">
      <w:pPr>
        <w:rPr>
          <w:rFonts w:cs="ACaslonPro-Regular"/>
          <w:b/>
          <w:color w:val="210000"/>
        </w:rPr>
      </w:pPr>
      <w:r w:rsidRPr="00080F59">
        <w:rPr>
          <w:rFonts w:cs="ACaslonPro-Regular"/>
          <w:b/>
          <w:color w:val="210000"/>
        </w:rPr>
        <w:t>Recognition and Referral</w:t>
      </w:r>
    </w:p>
    <w:p w14:paraId="0E9EE793" w14:textId="3D79EB9F" w:rsidR="00023425" w:rsidRPr="00B14FB6" w:rsidRDefault="00B14FB6" w:rsidP="008F7E4E">
      <w:pPr>
        <w:pStyle w:val="ListParagraph"/>
        <w:numPr>
          <w:ilvl w:val="0"/>
          <w:numId w:val="23"/>
        </w:numPr>
        <w:rPr>
          <w:rFonts w:cs="ACaslonPro-Regular"/>
          <w:b/>
          <w:color w:val="210000"/>
        </w:rPr>
      </w:pPr>
      <w:r>
        <w:rPr>
          <w:rFonts w:cs="ACaslonPro-Regular"/>
          <w:color w:val="210000"/>
        </w:rPr>
        <w:t>Does your CCG have a specified pathway from primary care to secondary care for inflammatory back pain in place?</w:t>
      </w:r>
    </w:p>
    <w:p w14:paraId="35500A6F" w14:textId="6D5CC37F" w:rsidR="00015EBC" w:rsidRPr="00015EBC" w:rsidRDefault="00015EBC" w:rsidP="00015EBC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p w14:paraId="7FB0E63A" w14:textId="5F8B3F6D" w:rsidR="008F7E4E" w:rsidRPr="00BF6106" w:rsidRDefault="008F7E4E" w:rsidP="008D67EB">
      <w:pPr>
        <w:pStyle w:val="ListParagraph"/>
        <w:numPr>
          <w:ilvl w:val="0"/>
          <w:numId w:val="26"/>
        </w:numPr>
        <w:spacing w:after="0" w:line="240" w:lineRule="auto"/>
        <w:rPr>
          <w:rFonts w:cs="ACaslonPro-Regular"/>
          <w:color w:val="0070C0"/>
        </w:rPr>
      </w:pPr>
      <w:r w:rsidRPr="00BF6106">
        <w:rPr>
          <w:rFonts w:cs="ACaslonPro-Regular"/>
          <w:color w:val="0070C0"/>
        </w:rPr>
        <w:t>Yes</w:t>
      </w:r>
    </w:p>
    <w:p w14:paraId="0441EC03" w14:textId="4052666F" w:rsidR="008F7E4E" w:rsidRPr="008D67EB" w:rsidRDefault="008F7E4E" w:rsidP="008D67EB">
      <w:pPr>
        <w:pStyle w:val="ListParagraph"/>
        <w:numPr>
          <w:ilvl w:val="0"/>
          <w:numId w:val="26"/>
        </w:numPr>
        <w:spacing w:after="0" w:line="240" w:lineRule="auto"/>
        <w:rPr>
          <w:rFonts w:cs="ACaslonPro-Regular"/>
          <w:color w:val="210000"/>
        </w:rPr>
      </w:pPr>
    </w:p>
    <w:p w14:paraId="6026C40E" w14:textId="6C3FF8DA" w:rsidR="00015EBC" w:rsidRDefault="00015EBC" w:rsidP="00015EBC">
      <w:pPr>
        <w:tabs>
          <w:tab w:val="left" w:pos="971"/>
        </w:tabs>
        <w:spacing w:after="0" w:line="240" w:lineRule="auto"/>
        <w:rPr>
          <w:rFonts w:cs="ACaslonPro-Regular"/>
          <w:color w:val="210000"/>
        </w:rPr>
      </w:pPr>
    </w:p>
    <w:p w14:paraId="0449BACA" w14:textId="74B4F69D" w:rsidR="00BA6226" w:rsidRDefault="00EB2A4D" w:rsidP="00015EBC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12C86" wp14:editId="25E4EBD7">
                <wp:simplePos x="0" y="0"/>
                <wp:positionH relativeFrom="column">
                  <wp:posOffset>431165</wp:posOffset>
                </wp:positionH>
                <wp:positionV relativeFrom="paragraph">
                  <wp:posOffset>420370</wp:posOffset>
                </wp:positionV>
                <wp:extent cx="585787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1960" w14:textId="669A782A" w:rsidR="00EB2A4D" w:rsidRPr="00BF6106" w:rsidRDefault="00FD37A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BF6106">
                              <w:rPr>
                                <w:rFonts w:ascii="Arial" w:hAnsi="Arial" w:cs="Arial"/>
                                <w:color w:val="0070C0"/>
                              </w:rPr>
                              <w:t>All orthopaedic GP referrals to be referred via Musculoskeletal Clinical assessment and treatment service (MCAS)/Joint Health.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95pt;margin-top:33.1pt;width:461.2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">
                <v:textbox>
                  <w:txbxContent>
                    <w:p w14:paraId="75C51960" w14:textId="669A782A" w:rsidR="00EB2A4D" w:rsidRPr="00BF6106" w:rsidRDefault="00FD37A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BF6106">
                        <w:rPr>
                          <w:rFonts w:ascii="Arial" w:hAnsi="Arial" w:cs="Arial"/>
                          <w:color w:val="0070C0"/>
                        </w:rPr>
                        <w:t>All orthopaedic GP referrals to be referred via Musculoskeletal Clinical assessment and treatment service (MCAS)/Joint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EBC">
        <w:rPr>
          <w:rFonts w:cs="ACaslonPro-Regular"/>
          <w:b/>
          <w:i/>
          <w:color w:val="210000"/>
        </w:rPr>
        <w:t xml:space="preserve">If you answered ‘yes’, </w:t>
      </w:r>
      <w:r w:rsidR="00015EBC" w:rsidRPr="00015EBC">
        <w:rPr>
          <w:rFonts w:cs="ACaslonPro-Regular"/>
          <w:b/>
          <w:i/>
          <w:color w:val="210000"/>
        </w:rPr>
        <w:t>p</w:t>
      </w:r>
      <w:r w:rsidR="00D202D4" w:rsidRPr="00015EBC">
        <w:rPr>
          <w:rFonts w:cs="ACaslonPro-Regular"/>
          <w:b/>
          <w:i/>
          <w:color w:val="210000"/>
        </w:rPr>
        <w:t xml:space="preserve">lease give details </w:t>
      </w:r>
      <w:r>
        <w:rPr>
          <w:rFonts w:cs="ACaslonPro-Regular"/>
          <w:b/>
          <w:i/>
          <w:color w:val="210000"/>
        </w:rPr>
        <w:t xml:space="preserve">below </w:t>
      </w:r>
      <w:r w:rsidR="00D202D4" w:rsidRPr="00015EBC">
        <w:rPr>
          <w:rFonts w:cs="ACaslonPro-Regular"/>
          <w:b/>
          <w:i/>
          <w:color w:val="210000"/>
        </w:rPr>
        <w:t>of the pathway and</w:t>
      </w:r>
      <w:r w:rsidR="00A777AC" w:rsidRPr="00015EBC">
        <w:rPr>
          <w:rFonts w:cs="ACaslonPro-Regular"/>
          <w:b/>
          <w:i/>
          <w:color w:val="210000"/>
        </w:rPr>
        <w:t xml:space="preserve">, if applicable, </w:t>
      </w:r>
      <w:r w:rsidR="00D202D4" w:rsidRPr="00015EBC">
        <w:rPr>
          <w:rFonts w:cs="ACaslonPro-Regular"/>
          <w:b/>
          <w:i/>
          <w:color w:val="210000"/>
        </w:rPr>
        <w:t>arrangements in place to raise awareness in primary care</w:t>
      </w:r>
    </w:p>
    <w:p w14:paraId="32F9F4B7" w14:textId="4E9AAC02" w:rsidR="008F7E4E" w:rsidRPr="00015EBC" w:rsidRDefault="00BA6226" w:rsidP="00015EBC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 xml:space="preserve">If </w:t>
      </w:r>
      <w:r w:rsidR="00FB7510">
        <w:rPr>
          <w:rFonts w:cs="ACaslonPro-Regular"/>
          <w:b/>
          <w:i/>
          <w:color w:val="210000"/>
        </w:rPr>
        <w:t>neither</w:t>
      </w:r>
      <w:r>
        <w:rPr>
          <w:rFonts w:cs="ACaslonPro-Regular"/>
          <w:b/>
          <w:i/>
          <w:color w:val="210000"/>
        </w:rPr>
        <w:t xml:space="preserve"> of the above response options apply to you, please provide more information on your local arrangements below</w:t>
      </w:r>
      <w:r w:rsidR="008F7E4E">
        <w:rPr>
          <w:rFonts w:cs="ACaslonPro-Regular"/>
          <w:color w:val="210000"/>
        </w:rPr>
        <w:tab/>
      </w:r>
    </w:p>
    <w:p w14:paraId="1D444BE4" w14:textId="7633462E" w:rsidR="008F7E4E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  <w:bookmarkStart w:id="0" w:name="_Hlk513649189"/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0BA176" wp14:editId="7068A167">
                <wp:simplePos x="0" y="0"/>
                <wp:positionH relativeFrom="column">
                  <wp:posOffset>431165</wp:posOffset>
                </wp:positionH>
                <wp:positionV relativeFrom="paragraph">
                  <wp:posOffset>99060</wp:posOffset>
                </wp:positionV>
                <wp:extent cx="5857875" cy="923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EB02" w14:textId="1E04B364" w:rsidR="00FD37AB" w:rsidRPr="00BF6106" w:rsidRDefault="00FD37AB" w:rsidP="00FD37A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BF6106">
                              <w:rPr>
                                <w:rFonts w:ascii="Arial" w:hAnsi="Arial" w:cs="Arial"/>
                                <w:color w:val="0070C0"/>
                              </w:rPr>
                              <w:t>All GP Orthopaedic referrals triaged via the Musculoskeletal Clinical assessment and treatment service (MCAS/</w:t>
                            </w:r>
                            <w:proofErr w:type="spellStart"/>
                            <w:r w:rsidRPr="00BF6106">
                              <w:rPr>
                                <w:rFonts w:ascii="Arial" w:hAnsi="Arial" w:cs="Arial"/>
                                <w:color w:val="0070C0"/>
                              </w:rPr>
                              <w:t>RheuCAS</w:t>
                            </w:r>
                            <w:proofErr w:type="spellEnd"/>
                            <w:r w:rsidRPr="00BF6106">
                              <w:rPr>
                                <w:rFonts w:ascii="Arial" w:hAnsi="Arial" w:cs="Arial"/>
                                <w:color w:val="0070C0"/>
                              </w:rPr>
                              <w:t>) /Joint Health. Referrals assessed, treated and/or onward referred were appropriate.</w:t>
                            </w:r>
                          </w:p>
                          <w:p w14:paraId="59D9671F" w14:textId="77777777" w:rsidR="00EB2A4D" w:rsidRDefault="00EB2A4D" w:rsidP="00EB2A4D"/>
                          <w:p w14:paraId="0455F724" w14:textId="77777777" w:rsidR="00EB2A4D" w:rsidRDefault="00EB2A4D" w:rsidP="00EB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95pt;margin-top:7.8pt;width:461.2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">
                <v:textbox>
                  <w:txbxContent>
                    <w:p w14:paraId="70B6EB02" w14:textId="1E04B364" w:rsidR="00FD37AB" w:rsidRPr="00BF6106" w:rsidRDefault="00FD37AB" w:rsidP="00FD37A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BF6106">
                        <w:rPr>
                          <w:rFonts w:ascii="Arial" w:hAnsi="Arial" w:cs="Arial"/>
                          <w:color w:val="0070C0"/>
                        </w:rPr>
                        <w:t>All GP Orthopaedic referrals triaged via the Musculoskeletal Clinical assessment and treatment service (MCAS/</w:t>
                      </w:r>
                      <w:proofErr w:type="spellStart"/>
                      <w:r w:rsidRPr="00BF6106">
                        <w:rPr>
                          <w:rFonts w:ascii="Arial" w:hAnsi="Arial" w:cs="Arial"/>
                          <w:color w:val="0070C0"/>
                        </w:rPr>
                        <w:t>RheuCAS</w:t>
                      </w:r>
                      <w:proofErr w:type="spellEnd"/>
                      <w:r w:rsidRPr="00BF6106">
                        <w:rPr>
                          <w:rFonts w:ascii="Arial" w:hAnsi="Arial" w:cs="Arial"/>
                          <w:color w:val="0070C0"/>
                        </w:rPr>
                        <w:t>) /Joint Health. Referrals assessed, treated and/or onward referred were appropriate.</w:t>
                      </w:r>
                    </w:p>
                    <w:p w14:paraId="59D9671F" w14:textId="77777777" w:rsidR="00EB2A4D" w:rsidRDefault="00EB2A4D" w:rsidP="00EB2A4D"/>
                    <w:p w14:paraId="0455F724" w14:textId="77777777" w:rsidR="00EB2A4D" w:rsidRDefault="00EB2A4D" w:rsidP="00EB2A4D"/>
                  </w:txbxContent>
                </v:textbox>
                <w10:wrap type="square"/>
              </v:shape>
            </w:pict>
          </mc:Fallback>
        </mc:AlternateContent>
      </w:r>
    </w:p>
    <w:p w14:paraId="6EC9D44B" w14:textId="05AA6D64" w:rsidR="00EB2A4D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51520BF6" w14:textId="546B94FF" w:rsidR="00EB2A4D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4021A6AD" w14:textId="40235F2B" w:rsidR="00EB2A4D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2806B8E2" w14:textId="7377C01C" w:rsidR="00EB2A4D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2FC20CC4" w14:textId="77777777" w:rsidR="00EB2A4D" w:rsidRPr="00796A8E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bookmarkEnd w:id="0"/>
    <w:p w14:paraId="7556CAD8" w14:textId="64466AFD" w:rsidR="00DE7F7C" w:rsidRPr="00DE7F7C" w:rsidRDefault="00DE7F7C" w:rsidP="00DF302E">
      <w:pPr>
        <w:pStyle w:val="ListParagraph"/>
        <w:spacing w:after="120"/>
        <w:ind w:left="0"/>
        <w:contextualSpacing w:val="0"/>
        <w:rPr>
          <w:rFonts w:cs="ACaslonPro-Regular"/>
          <w:b/>
          <w:color w:val="210000"/>
        </w:rPr>
      </w:pPr>
      <w:r w:rsidRPr="00DE7F7C">
        <w:rPr>
          <w:rFonts w:cs="ACaslonPro-Regular"/>
          <w:b/>
          <w:color w:val="210000"/>
        </w:rPr>
        <w:t>Diagnosis in specialist care settings</w:t>
      </w:r>
    </w:p>
    <w:p w14:paraId="1D3EB937" w14:textId="03BF06D1" w:rsidR="00796A8E" w:rsidRDefault="00796A8E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 xml:space="preserve">What is the average </w:t>
      </w:r>
      <w:r w:rsidR="0034148F">
        <w:rPr>
          <w:rFonts w:cs="ACaslonPro-Regular"/>
          <w:color w:val="210000"/>
        </w:rPr>
        <w:t xml:space="preserve">current waiting time </w:t>
      </w:r>
      <w:r w:rsidR="00B14FB6">
        <w:rPr>
          <w:rFonts w:cs="ACaslonPro-Regular"/>
          <w:color w:val="210000"/>
        </w:rPr>
        <w:t xml:space="preserve">to diagnosis </w:t>
      </w:r>
      <w:r w:rsidR="0034148F">
        <w:rPr>
          <w:rFonts w:cs="ACaslonPro-Regular"/>
          <w:color w:val="210000"/>
        </w:rPr>
        <w:t>for a patient referred with inflammatory back pain</w:t>
      </w:r>
      <w:r w:rsidRPr="00A15A39">
        <w:rPr>
          <w:rFonts w:cs="ACaslonPro-Regular"/>
          <w:color w:val="210000"/>
        </w:rPr>
        <w:t>?</w:t>
      </w:r>
    </w:p>
    <w:p w14:paraId="416B7503" w14:textId="1DECE757" w:rsidR="00015EBC" w:rsidRDefault="00015EBC" w:rsidP="00015EBC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EB2A4D" w14:paraId="7D693B9E" w14:textId="77777777" w:rsidTr="00EB2A4D">
        <w:tc>
          <w:tcPr>
            <w:tcW w:w="4739" w:type="dxa"/>
            <w:shd w:val="clear" w:color="auto" w:fill="F2F2F2" w:themeFill="background1" w:themeFillShade="F2"/>
          </w:tcPr>
          <w:p w14:paraId="617D1D04" w14:textId="5C61D8CD" w:rsidR="00EB2A4D" w:rsidRPr="00EB2A4D" w:rsidRDefault="00EB2A4D" w:rsidP="00015EBC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17CF0E6D" w14:textId="401DD490" w:rsidR="00EB2A4D" w:rsidRPr="00EB2A4D" w:rsidRDefault="00EB2A4D" w:rsidP="00015EBC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 w:rsidR="002838BF"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EB2A4D" w14:paraId="52C0EC18" w14:textId="77777777" w:rsidTr="00EB2A4D">
        <w:tc>
          <w:tcPr>
            <w:tcW w:w="4739" w:type="dxa"/>
          </w:tcPr>
          <w:p w14:paraId="49211C4D" w14:textId="571B427D" w:rsidR="00EB2A4D" w:rsidRPr="00EB2A4D" w:rsidRDefault="00EB2A4D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Less than 1 month</w:t>
            </w:r>
          </w:p>
        </w:tc>
        <w:tc>
          <w:tcPr>
            <w:tcW w:w="4735" w:type="dxa"/>
          </w:tcPr>
          <w:p w14:paraId="16479236" w14:textId="65CF6D6B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51B85351" w14:textId="77777777" w:rsidTr="00EB2A4D">
        <w:tc>
          <w:tcPr>
            <w:tcW w:w="4739" w:type="dxa"/>
          </w:tcPr>
          <w:p w14:paraId="4E2E43B0" w14:textId="2D9D33D8" w:rsidR="00EB2A4D" w:rsidRPr="00EB2A4D" w:rsidRDefault="00EB2A4D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1 – 2 months</w:t>
            </w:r>
          </w:p>
        </w:tc>
        <w:tc>
          <w:tcPr>
            <w:tcW w:w="4735" w:type="dxa"/>
          </w:tcPr>
          <w:p w14:paraId="5FE79126" w14:textId="40802410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5D25C702" w14:textId="77777777" w:rsidTr="00EB2A4D">
        <w:tc>
          <w:tcPr>
            <w:tcW w:w="4739" w:type="dxa"/>
          </w:tcPr>
          <w:p w14:paraId="27613593" w14:textId="440FE8E6" w:rsidR="00EB2A4D" w:rsidRPr="00EB2A4D" w:rsidRDefault="00EB2A4D" w:rsidP="00015EBC">
            <w:pPr>
              <w:pStyle w:val="ListParagraph"/>
              <w:ind w:left="0"/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2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3 months</w:t>
            </w:r>
          </w:p>
        </w:tc>
        <w:tc>
          <w:tcPr>
            <w:tcW w:w="4735" w:type="dxa"/>
          </w:tcPr>
          <w:p w14:paraId="57511880" w14:textId="1DE740A4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676AD758" w14:textId="77777777" w:rsidTr="00EB2A4D">
        <w:tc>
          <w:tcPr>
            <w:tcW w:w="4739" w:type="dxa"/>
          </w:tcPr>
          <w:p w14:paraId="0D506FC5" w14:textId="035BE750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3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4 months</w:t>
            </w:r>
          </w:p>
        </w:tc>
        <w:tc>
          <w:tcPr>
            <w:tcW w:w="4735" w:type="dxa"/>
          </w:tcPr>
          <w:p w14:paraId="61DC9C73" w14:textId="77777777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7C334E7C" w14:textId="77777777" w:rsidTr="00EB2A4D">
        <w:tc>
          <w:tcPr>
            <w:tcW w:w="4739" w:type="dxa"/>
          </w:tcPr>
          <w:p w14:paraId="08D43692" w14:textId="0EB8D1C3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4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5 months</w:t>
            </w:r>
          </w:p>
        </w:tc>
        <w:tc>
          <w:tcPr>
            <w:tcW w:w="4735" w:type="dxa"/>
          </w:tcPr>
          <w:p w14:paraId="503E2C38" w14:textId="77777777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6F2ADD56" w14:textId="77777777" w:rsidTr="00EB2A4D">
        <w:tc>
          <w:tcPr>
            <w:tcW w:w="4739" w:type="dxa"/>
          </w:tcPr>
          <w:p w14:paraId="5756EBB3" w14:textId="17F84090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5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6 months</w:t>
            </w:r>
          </w:p>
        </w:tc>
        <w:tc>
          <w:tcPr>
            <w:tcW w:w="4735" w:type="dxa"/>
          </w:tcPr>
          <w:p w14:paraId="3C9D0739" w14:textId="77777777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6C2007EE" w14:textId="77777777" w:rsidTr="00EB2A4D">
        <w:tc>
          <w:tcPr>
            <w:tcW w:w="4739" w:type="dxa"/>
          </w:tcPr>
          <w:p w14:paraId="5A7A1EF5" w14:textId="325F4756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6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12 months</w:t>
            </w:r>
          </w:p>
        </w:tc>
        <w:tc>
          <w:tcPr>
            <w:tcW w:w="4735" w:type="dxa"/>
          </w:tcPr>
          <w:p w14:paraId="1A027A71" w14:textId="77777777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70FEC6A6" w14:textId="77777777" w:rsidTr="00EB2A4D">
        <w:tc>
          <w:tcPr>
            <w:tcW w:w="4739" w:type="dxa"/>
          </w:tcPr>
          <w:p w14:paraId="526F22DD" w14:textId="1C495CBD" w:rsidR="00EB2A4D" w:rsidRDefault="00EB2A4D" w:rsidP="00015EBC">
            <w:pPr>
              <w:pStyle w:val="ListParagraph"/>
              <w:ind w:left="0"/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More than 12 months</w:t>
            </w:r>
          </w:p>
        </w:tc>
        <w:tc>
          <w:tcPr>
            <w:tcW w:w="4735" w:type="dxa"/>
          </w:tcPr>
          <w:p w14:paraId="0C995281" w14:textId="77777777" w:rsidR="00EB2A4D" w:rsidRDefault="00EB2A4D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</w:tbl>
    <w:p w14:paraId="070D1948" w14:textId="77777777" w:rsidR="00EB2A4D" w:rsidRPr="00015EBC" w:rsidRDefault="00EB2A4D" w:rsidP="00015EBC">
      <w:pPr>
        <w:pStyle w:val="ListParagraph"/>
        <w:rPr>
          <w:rFonts w:cs="ACaslonPro-Regular"/>
          <w:b/>
          <w:i/>
          <w:color w:val="210000"/>
        </w:rPr>
      </w:pPr>
    </w:p>
    <w:p w14:paraId="643E29F4" w14:textId="5852B4B9" w:rsidR="00015EBC" w:rsidRDefault="00796A8E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 xml:space="preserve">Are patients with suspected axial SpA </w:t>
      </w:r>
      <w:r w:rsidR="000C75FF">
        <w:rPr>
          <w:rFonts w:cs="ACaslonPro-Regular"/>
          <w:color w:val="210000"/>
        </w:rPr>
        <w:t xml:space="preserve">(AS) </w:t>
      </w:r>
      <w:r w:rsidRPr="00A15A39">
        <w:rPr>
          <w:rFonts w:cs="ACaslonPro-Regular"/>
          <w:color w:val="210000"/>
        </w:rPr>
        <w:t>routinely referred for</w:t>
      </w:r>
      <w:r w:rsidR="00023425">
        <w:rPr>
          <w:rFonts w:cs="ACaslonPro-Regular"/>
          <w:color w:val="210000"/>
        </w:rPr>
        <w:t xml:space="preserve"> a full spinal</w:t>
      </w:r>
      <w:r w:rsidRPr="00A15A39">
        <w:rPr>
          <w:rFonts w:cs="ACaslonPro-Regular"/>
          <w:color w:val="210000"/>
        </w:rPr>
        <w:t xml:space="preserve"> MRI?</w:t>
      </w:r>
    </w:p>
    <w:p w14:paraId="3FDC5A58" w14:textId="0DED37FD" w:rsidR="00015EBC" w:rsidRDefault="00015EBC" w:rsidP="00015EBC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EB2A4D" w:rsidRPr="00EB2A4D" w14:paraId="41F764F4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7024B8C7" w14:textId="77777777" w:rsidR="00EB2A4D" w:rsidRPr="00EB2A4D" w:rsidRDefault="00EB2A4D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4BD192BE" w14:textId="5B692716" w:rsidR="00EB2A4D" w:rsidRPr="00EB2A4D" w:rsidRDefault="00EB2A4D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 w:rsidR="002838BF"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EB2A4D" w14:paraId="2AE789D1" w14:textId="77777777" w:rsidTr="00DC0B8E">
        <w:tc>
          <w:tcPr>
            <w:tcW w:w="4739" w:type="dxa"/>
          </w:tcPr>
          <w:p w14:paraId="4AE8CDFD" w14:textId="180FE054" w:rsidR="00EB2A4D" w:rsidRPr="00EB2A4D" w:rsidRDefault="00EB2A4D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Yes</w:t>
            </w:r>
          </w:p>
        </w:tc>
        <w:tc>
          <w:tcPr>
            <w:tcW w:w="4735" w:type="dxa"/>
          </w:tcPr>
          <w:p w14:paraId="60334B95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6000BA82" w14:textId="77777777" w:rsidTr="00DC0B8E">
        <w:tc>
          <w:tcPr>
            <w:tcW w:w="4739" w:type="dxa"/>
          </w:tcPr>
          <w:p w14:paraId="0F9EE5FA" w14:textId="32D6C31F" w:rsidR="00EB2A4D" w:rsidRPr="00EB2A4D" w:rsidRDefault="00EB2A4D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No</w:t>
            </w:r>
          </w:p>
        </w:tc>
        <w:tc>
          <w:tcPr>
            <w:tcW w:w="4735" w:type="dxa"/>
          </w:tcPr>
          <w:p w14:paraId="5DE9737F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</w:tbl>
    <w:p w14:paraId="2F29A0BC" w14:textId="2A25E279" w:rsidR="008F7E4E" w:rsidRDefault="008F7E4E" w:rsidP="00782984">
      <w:pPr>
        <w:spacing w:after="0"/>
        <w:rPr>
          <w:rFonts w:cs="ACaslonPro-Regular"/>
          <w:color w:val="210000"/>
        </w:rPr>
      </w:pPr>
    </w:p>
    <w:p w14:paraId="6F5C132E" w14:textId="77777777" w:rsidR="00FD3AB6" w:rsidRDefault="00FD3AB6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3A58CC83" w14:textId="77777777" w:rsidR="00FD3AB6" w:rsidRDefault="00FD3AB6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7BAAA0B7" w14:textId="77777777" w:rsidR="00FD3AB6" w:rsidRDefault="00FD3AB6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5BE49898" w14:textId="77777777" w:rsidR="00FD3AB6" w:rsidRDefault="00FD3AB6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6BBEF2AE" w14:textId="77777777" w:rsidR="00FD3AB6" w:rsidRDefault="00FD3AB6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1770F9E5" w14:textId="77777777" w:rsidR="00FD3AB6" w:rsidRDefault="00FD3AB6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642F8342" w14:textId="77777777" w:rsidR="00FD3AB6" w:rsidRDefault="00FD3AB6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39364817" w14:textId="2C4E3DEB" w:rsidR="00BA6226" w:rsidRDefault="00BA6226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color w:val="210000"/>
        </w:rPr>
      </w:pPr>
      <w:r>
        <w:rPr>
          <w:rFonts w:cs="ACaslonPro-Regular"/>
          <w:b/>
          <w:i/>
          <w:color w:val="210000"/>
        </w:rPr>
        <w:lastRenderedPageBreak/>
        <w:t xml:space="preserve">If </w:t>
      </w:r>
      <w:r w:rsidR="00FB7510">
        <w:rPr>
          <w:rFonts w:cs="ACaslonPro-Regular"/>
          <w:b/>
          <w:i/>
          <w:color w:val="210000"/>
        </w:rPr>
        <w:t>neither</w:t>
      </w:r>
      <w:r>
        <w:rPr>
          <w:rFonts w:cs="ACaslonPro-Regular"/>
          <w:b/>
          <w:i/>
          <w:color w:val="210000"/>
        </w:rPr>
        <w:t xml:space="preserve"> of the above response options </w:t>
      </w:r>
      <w:proofErr w:type="gramStart"/>
      <w:r>
        <w:rPr>
          <w:rFonts w:cs="ACaslonPro-Regular"/>
          <w:b/>
          <w:i/>
          <w:color w:val="210000"/>
        </w:rPr>
        <w:t>apply</w:t>
      </w:r>
      <w:proofErr w:type="gramEnd"/>
      <w:r>
        <w:rPr>
          <w:rFonts w:cs="ACaslonPro-Regular"/>
          <w:b/>
          <w:i/>
          <w:color w:val="210000"/>
        </w:rPr>
        <w:t xml:space="preserve"> to you, please provide more information on your local arrangements below</w:t>
      </w:r>
    </w:p>
    <w:p w14:paraId="54414DE5" w14:textId="77777777" w:rsidR="00FD3AB6" w:rsidRDefault="00FD3AB6" w:rsidP="00DF302E">
      <w:pPr>
        <w:spacing w:after="120"/>
        <w:rPr>
          <w:rFonts w:cs="ACaslonPro-Regular"/>
          <w:b/>
          <w:color w:val="210000"/>
        </w:rPr>
      </w:pPr>
    </w:p>
    <w:p w14:paraId="6584193B" w14:textId="4B04A056" w:rsidR="005B232E" w:rsidRPr="005B232E" w:rsidRDefault="005B232E" w:rsidP="00DF302E">
      <w:pPr>
        <w:spacing w:after="120"/>
        <w:rPr>
          <w:rFonts w:cs="ACaslonPro-Regular"/>
          <w:b/>
          <w:color w:val="210000"/>
        </w:rPr>
      </w:pPr>
      <w:r w:rsidRPr="005B232E">
        <w:rPr>
          <w:rFonts w:cs="ACaslonPro-Regular"/>
          <w:b/>
          <w:color w:val="210000"/>
        </w:rPr>
        <w:t>Information and Support</w:t>
      </w:r>
    </w:p>
    <w:p w14:paraId="3914A5D8" w14:textId="55356C5A" w:rsidR="005B232E" w:rsidRPr="00A15A39" w:rsidRDefault="005B232E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>How do you ensure patients are given information and support following their diagnosis?</w:t>
      </w:r>
    </w:p>
    <w:p w14:paraId="5D25AB9E" w14:textId="78B61094" w:rsidR="00015EBC" w:rsidRDefault="00015EBC" w:rsidP="00015EBC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 xml:space="preserve">Please select </w:t>
      </w:r>
      <w:r w:rsidR="001753E4">
        <w:rPr>
          <w:rFonts w:cs="ACaslonPro-Regular"/>
          <w:b/>
          <w:i/>
          <w:color w:val="210000"/>
        </w:rPr>
        <w:t>whichever</w:t>
      </w:r>
      <w:r>
        <w:rPr>
          <w:rFonts w:cs="ACaslonPro-Regular"/>
          <w:b/>
          <w:i/>
          <w:color w:val="210000"/>
        </w:rPr>
        <w:t xml:space="preserve"> response options</w:t>
      </w:r>
      <w:r w:rsidR="001753E4">
        <w:rPr>
          <w:rFonts w:cs="ACaslonPro-Regular"/>
          <w:b/>
          <w:i/>
          <w:color w:val="210000"/>
        </w:rPr>
        <w:t xml:space="preserve"> apply</w:t>
      </w:r>
    </w:p>
    <w:p w14:paraId="7BA6EF81" w14:textId="4E3F1DE0" w:rsidR="00EB2A4D" w:rsidRDefault="00EB2A4D" w:rsidP="00015EBC">
      <w:pPr>
        <w:pStyle w:val="ListParagraph"/>
        <w:rPr>
          <w:rFonts w:cs="ACaslonPro-Regular"/>
          <w:b/>
          <w:i/>
          <w:color w:val="21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EB2A4D" w:rsidRPr="00EB2A4D" w14:paraId="3FBC6D78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36158C47" w14:textId="77777777" w:rsidR="00EB2A4D" w:rsidRPr="00EB2A4D" w:rsidRDefault="00EB2A4D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73B3471F" w14:textId="3AEC34DB" w:rsidR="00EB2A4D" w:rsidRPr="00EB2A4D" w:rsidRDefault="00EB2A4D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>
              <w:rPr>
                <w:rFonts w:cs="ACaslonPro-Regular"/>
                <w:b/>
                <w:color w:val="210000"/>
              </w:rPr>
              <w:t xml:space="preserve"> (multiple responses if applicable)</w:t>
            </w:r>
          </w:p>
        </w:tc>
      </w:tr>
      <w:tr w:rsidR="00EB2A4D" w14:paraId="7D2747B3" w14:textId="77777777" w:rsidTr="00DC0B8E">
        <w:tc>
          <w:tcPr>
            <w:tcW w:w="4739" w:type="dxa"/>
          </w:tcPr>
          <w:p w14:paraId="3AC05C27" w14:textId="05FD4808" w:rsidR="00EB2A4D" w:rsidRPr="00EB2A4D" w:rsidRDefault="00EB2A4D" w:rsidP="00DC0B8E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Written information</w:t>
            </w:r>
          </w:p>
        </w:tc>
        <w:tc>
          <w:tcPr>
            <w:tcW w:w="4735" w:type="dxa"/>
          </w:tcPr>
          <w:p w14:paraId="009C098E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51509CAE" w14:textId="77777777" w:rsidTr="00DC0B8E">
        <w:tc>
          <w:tcPr>
            <w:tcW w:w="4739" w:type="dxa"/>
          </w:tcPr>
          <w:p w14:paraId="66F6AA4B" w14:textId="60C11D11" w:rsidR="00EB2A4D" w:rsidRPr="00EB2A4D" w:rsidRDefault="00EB2A4D" w:rsidP="00DC0B8E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Verbal information</w:t>
            </w:r>
          </w:p>
        </w:tc>
        <w:tc>
          <w:tcPr>
            <w:tcW w:w="4735" w:type="dxa"/>
          </w:tcPr>
          <w:p w14:paraId="1FEFE5D3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580B6863" w14:textId="77777777" w:rsidTr="00DC0B8E">
        <w:tc>
          <w:tcPr>
            <w:tcW w:w="4739" w:type="dxa"/>
          </w:tcPr>
          <w:p w14:paraId="1C978E90" w14:textId="6B84FDEC" w:rsidR="00EB2A4D" w:rsidRPr="00EB2A4D" w:rsidRDefault="00EB2A4D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Access to a helpline</w:t>
            </w:r>
          </w:p>
        </w:tc>
        <w:tc>
          <w:tcPr>
            <w:tcW w:w="4735" w:type="dxa"/>
          </w:tcPr>
          <w:p w14:paraId="7D44EB7F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544A0507" w14:textId="77777777" w:rsidTr="00DC0B8E">
        <w:tc>
          <w:tcPr>
            <w:tcW w:w="4739" w:type="dxa"/>
          </w:tcPr>
          <w:p w14:paraId="48B0848B" w14:textId="680E4463" w:rsidR="00EB2A4D" w:rsidRPr="00EB2A4D" w:rsidRDefault="00EB2A4D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 xml:space="preserve">Named contact in the team </w:t>
            </w:r>
          </w:p>
        </w:tc>
        <w:tc>
          <w:tcPr>
            <w:tcW w:w="4735" w:type="dxa"/>
          </w:tcPr>
          <w:p w14:paraId="36D99586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10A294D0" w14:textId="77777777" w:rsidTr="00DC0B8E">
        <w:tc>
          <w:tcPr>
            <w:tcW w:w="4739" w:type="dxa"/>
          </w:tcPr>
          <w:p w14:paraId="36AFC518" w14:textId="06627B56" w:rsidR="00EB2A4D" w:rsidRPr="00EB2A4D" w:rsidRDefault="00EB2A4D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Group educational sessions</w:t>
            </w:r>
          </w:p>
        </w:tc>
        <w:tc>
          <w:tcPr>
            <w:tcW w:w="4735" w:type="dxa"/>
          </w:tcPr>
          <w:p w14:paraId="1029049C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506A869C" w14:textId="77777777" w:rsidTr="00EB2A4D">
        <w:trPr>
          <w:trHeight w:val="1369"/>
        </w:trPr>
        <w:tc>
          <w:tcPr>
            <w:tcW w:w="4739" w:type="dxa"/>
          </w:tcPr>
          <w:p w14:paraId="009DBE5E" w14:textId="77777777" w:rsidR="00EB2A4D" w:rsidRPr="00EB2A4D" w:rsidRDefault="00EB2A4D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Other (please provide details below)</w:t>
            </w:r>
          </w:p>
          <w:p w14:paraId="4833B59F" w14:textId="6A81621C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  <w:tc>
          <w:tcPr>
            <w:tcW w:w="4735" w:type="dxa"/>
          </w:tcPr>
          <w:p w14:paraId="02CB683C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</w:tbl>
    <w:p w14:paraId="026F0360" w14:textId="77777777" w:rsidR="00C16DC3" w:rsidRDefault="00C16DC3" w:rsidP="00782984">
      <w:pPr>
        <w:spacing w:after="0"/>
        <w:ind w:left="357"/>
        <w:rPr>
          <w:rFonts w:cs="ACaslonPro-Regular"/>
          <w:color w:val="210000"/>
        </w:rPr>
      </w:pPr>
    </w:p>
    <w:p w14:paraId="53223500" w14:textId="01838A68" w:rsidR="005B232E" w:rsidRPr="005B232E" w:rsidRDefault="005B232E" w:rsidP="00DF302E">
      <w:pPr>
        <w:spacing w:after="120"/>
        <w:rPr>
          <w:rFonts w:cs="ACaslonPro-Regular"/>
          <w:b/>
          <w:color w:val="210000"/>
        </w:rPr>
      </w:pPr>
      <w:r w:rsidRPr="005B232E">
        <w:rPr>
          <w:rFonts w:cs="ACaslonPro-Regular"/>
          <w:b/>
          <w:color w:val="210000"/>
        </w:rPr>
        <w:t>Pharmacological management of axial SpA</w:t>
      </w:r>
      <w:r w:rsidR="00A63B3C">
        <w:rPr>
          <w:rFonts w:cs="ACaslonPro-Regular"/>
          <w:b/>
          <w:color w:val="210000"/>
        </w:rPr>
        <w:t xml:space="preserve"> (AS)</w:t>
      </w:r>
    </w:p>
    <w:p w14:paraId="403BA652" w14:textId="4CA3AE92" w:rsidR="00015EBC" w:rsidRDefault="005B232E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>What guidance are patients</w:t>
      </w:r>
      <w:r w:rsidR="00015EBC">
        <w:rPr>
          <w:rFonts w:cs="ACaslonPro-Regular"/>
          <w:color w:val="210000"/>
        </w:rPr>
        <w:t xml:space="preserve"> </w:t>
      </w:r>
      <w:r w:rsidR="00A63B3C">
        <w:rPr>
          <w:rFonts w:cs="ACaslonPro-Regular"/>
          <w:color w:val="210000"/>
        </w:rPr>
        <w:t xml:space="preserve">with axial SpA (AS) </w:t>
      </w:r>
      <w:r w:rsidRPr="00A15A39">
        <w:rPr>
          <w:rFonts w:cs="ACaslonPro-Regular"/>
          <w:color w:val="210000"/>
        </w:rPr>
        <w:t>given when deciding whether to access biologic treatment?</w:t>
      </w:r>
      <w:r w:rsidR="008F7E4E" w:rsidRPr="00A15A39">
        <w:rPr>
          <w:rFonts w:cs="ACaslonPro-Regular"/>
          <w:color w:val="210000"/>
        </w:rPr>
        <w:t xml:space="preserve"> </w:t>
      </w:r>
    </w:p>
    <w:p w14:paraId="2E2A3DF0" w14:textId="7075CD64" w:rsidR="00015EBC" w:rsidRDefault="002838BF" w:rsidP="00015EBC">
      <w:pPr>
        <w:pStyle w:val="ListParagraph"/>
        <w:rPr>
          <w:rFonts w:cs="ACaslonPro-Regular"/>
          <w:b/>
          <w:i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3DAC7" wp14:editId="66C8743C">
                <wp:simplePos x="0" y="0"/>
                <wp:positionH relativeFrom="column">
                  <wp:posOffset>463138</wp:posOffset>
                </wp:positionH>
                <wp:positionV relativeFrom="paragraph">
                  <wp:posOffset>354503</wp:posOffset>
                </wp:positionV>
                <wp:extent cx="5857875" cy="923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C1E5" w14:textId="77777777" w:rsidR="002838BF" w:rsidRDefault="002838BF" w:rsidP="002838BF"/>
                          <w:p w14:paraId="14BF32FB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45pt;margin-top:27.9pt;width:461.25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nNJAIAAEsEAAAOAAAAZHJzL2Uyb0RvYy54bWysVNuO2yAQfa/Uf0C8N07cuJ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">
                <v:textbox>
                  <w:txbxContent>
                    <w:p w14:paraId="3CF4C1E5" w14:textId="77777777" w:rsidR="002838BF" w:rsidRDefault="002838BF" w:rsidP="002838BF"/>
                    <w:p w14:paraId="14BF32FB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  <w:r w:rsidR="00A13745">
        <w:rPr>
          <w:rFonts w:cs="ACaslonPro-Regular"/>
          <w:b/>
          <w:i/>
          <w:color w:val="210000"/>
        </w:rPr>
        <w:t>Please provide details of arrangements in your local area below</w:t>
      </w:r>
    </w:p>
    <w:p w14:paraId="27B8A19E" w14:textId="66ECFD33" w:rsidR="00015EBC" w:rsidRDefault="00015EBC" w:rsidP="00015EBC">
      <w:pPr>
        <w:pStyle w:val="ListParagraph"/>
        <w:rPr>
          <w:rFonts w:cs="ACaslonPro-Regular"/>
          <w:b/>
          <w:i/>
          <w:color w:val="210000"/>
        </w:rPr>
      </w:pPr>
    </w:p>
    <w:p w14:paraId="564DDC64" w14:textId="7CF4CC69" w:rsidR="005D2F4C" w:rsidRPr="0021320E" w:rsidRDefault="00D202D4" w:rsidP="00C705F7">
      <w:pPr>
        <w:pStyle w:val="ListParagraph"/>
        <w:numPr>
          <w:ilvl w:val="0"/>
          <w:numId w:val="23"/>
        </w:numPr>
        <w:rPr>
          <w:rFonts w:cs="ACaslonPro-Regular"/>
        </w:rPr>
      </w:pPr>
      <w:bookmarkStart w:id="1" w:name="_Hlk5189485"/>
      <w:r w:rsidRPr="00A777AC">
        <w:rPr>
          <w:lang w:eastAsia="en-GB"/>
        </w:rPr>
        <w:t>Bearing in mind the NICE anti TNF guidance for a</w:t>
      </w:r>
      <w:r w:rsidR="00907389">
        <w:rPr>
          <w:lang w:eastAsia="en-GB"/>
        </w:rPr>
        <w:t>nkylosing spondylitis</w:t>
      </w:r>
      <w:r w:rsidRPr="00A777AC">
        <w:rPr>
          <w:lang w:eastAsia="en-GB"/>
        </w:rPr>
        <w:t xml:space="preserve"> </w:t>
      </w:r>
      <w:r w:rsidR="00DC6623">
        <w:rPr>
          <w:lang w:eastAsia="en-GB"/>
        </w:rPr>
        <w:t xml:space="preserve">(TA383) </w:t>
      </w:r>
      <w:r w:rsidRPr="00A777AC">
        <w:rPr>
          <w:lang w:eastAsia="en-GB"/>
        </w:rPr>
        <w:t xml:space="preserve">states that, </w:t>
      </w:r>
      <w:r w:rsidRPr="0021320E">
        <w:rPr>
          <w:i/>
          <w:lang w:eastAsia="en-GB"/>
        </w:rPr>
        <w:t>‘Treatment with another anti TNF is recommended for people who cannot tolerate, or whose disease has not responded to, treatment with the first TNF-alpha inhibitor, or whose disease has stopped responding after an initial response’</w:t>
      </w:r>
      <w:r w:rsidRPr="00A777AC">
        <w:rPr>
          <w:lang w:eastAsia="en-GB"/>
        </w:rPr>
        <w:t xml:space="preserve">, </w:t>
      </w:r>
      <w:r w:rsidR="0021320E">
        <w:rPr>
          <w:lang w:eastAsia="en-GB"/>
        </w:rPr>
        <w:t>a</w:t>
      </w:r>
      <w:r w:rsidRPr="00A777AC">
        <w:rPr>
          <w:lang w:eastAsia="en-GB"/>
        </w:rPr>
        <w:t xml:space="preserve">fter failure with one biologic, </w:t>
      </w:r>
      <w:r w:rsidR="00023425">
        <w:rPr>
          <w:lang w:eastAsia="en-GB"/>
        </w:rPr>
        <w:t xml:space="preserve"> how many other biologics will your commissioners fund a patient </w:t>
      </w:r>
      <w:r w:rsidR="001753E4">
        <w:rPr>
          <w:lang w:eastAsia="en-GB"/>
        </w:rPr>
        <w:t xml:space="preserve">with axial SpA (AS) </w:t>
      </w:r>
      <w:r w:rsidR="00023425">
        <w:rPr>
          <w:lang w:eastAsia="en-GB"/>
        </w:rPr>
        <w:t>to try</w:t>
      </w:r>
      <w:r w:rsidRPr="00A777AC">
        <w:rPr>
          <w:lang w:eastAsia="en-GB"/>
        </w:rPr>
        <w:t>, including IL 17A</w:t>
      </w:r>
      <w:r w:rsidR="00907389">
        <w:rPr>
          <w:lang w:eastAsia="en-GB"/>
        </w:rPr>
        <w:t>s</w:t>
      </w:r>
      <w:r w:rsidRPr="00A777AC">
        <w:rPr>
          <w:lang w:eastAsia="en-GB"/>
        </w:rPr>
        <w:t>?</w:t>
      </w:r>
    </w:p>
    <w:p w14:paraId="4849127A" w14:textId="72555E86" w:rsidR="008D67EB" w:rsidRDefault="008D67EB" w:rsidP="008D67EB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p w14:paraId="50183BC8" w14:textId="292521AA" w:rsidR="002838BF" w:rsidRDefault="002838BF" w:rsidP="008D67EB">
      <w:pPr>
        <w:pStyle w:val="ListParagraph"/>
        <w:rPr>
          <w:rFonts w:cs="ACaslonPro-Regular"/>
          <w:b/>
          <w:i/>
          <w:color w:val="21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2838BF" w:rsidRPr="00EB2A4D" w14:paraId="369CD7C5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4F875C53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16EDA9EE" w14:textId="7C53AAF6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2838BF" w14:paraId="6037A2A8" w14:textId="77777777" w:rsidTr="00DC0B8E">
        <w:tc>
          <w:tcPr>
            <w:tcW w:w="4739" w:type="dxa"/>
          </w:tcPr>
          <w:p w14:paraId="3A0E5EE8" w14:textId="3DE79E3D" w:rsidR="002838BF" w:rsidRPr="00EB2A4D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None</w:t>
            </w:r>
          </w:p>
        </w:tc>
        <w:tc>
          <w:tcPr>
            <w:tcW w:w="4735" w:type="dxa"/>
          </w:tcPr>
          <w:p w14:paraId="545BC8EA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2838BF" w14:paraId="0EBDBCA0" w14:textId="77777777" w:rsidTr="00DC0B8E">
        <w:tc>
          <w:tcPr>
            <w:tcW w:w="4739" w:type="dxa"/>
          </w:tcPr>
          <w:p w14:paraId="5167E537" w14:textId="06493198" w:rsidR="002838BF" w:rsidRPr="00EB2A4D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1</w:t>
            </w:r>
          </w:p>
        </w:tc>
        <w:tc>
          <w:tcPr>
            <w:tcW w:w="4735" w:type="dxa"/>
          </w:tcPr>
          <w:p w14:paraId="19D1552F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2838BF" w14:paraId="2710D5FE" w14:textId="77777777" w:rsidTr="00DC0B8E">
        <w:tc>
          <w:tcPr>
            <w:tcW w:w="4739" w:type="dxa"/>
          </w:tcPr>
          <w:p w14:paraId="4F00EF0C" w14:textId="130328CB" w:rsidR="002838BF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2</w:t>
            </w:r>
          </w:p>
        </w:tc>
        <w:tc>
          <w:tcPr>
            <w:tcW w:w="4735" w:type="dxa"/>
          </w:tcPr>
          <w:p w14:paraId="71DF857C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2838BF" w14:paraId="5F2B164B" w14:textId="77777777" w:rsidTr="00DC0B8E">
        <w:tc>
          <w:tcPr>
            <w:tcW w:w="4739" w:type="dxa"/>
          </w:tcPr>
          <w:p w14:paraId="250092A2" w14:textId="0F64A4C4" w:rsidR="002838BF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3 or more</w:t>
            </w:r>
          </w:p>
        </w:tc>
        <w:tc>
          <w:tcPr>
            <w:tcW w:w="4735" w:type="dxa"/>
          </w:tcPr>
          <w:p w14:paraId="22061A49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bookmarkEnd w:id="1"/>
    </w:tbl>
    <w:p w14:paraId="401545CD" w14:textId="77777777" w:rsidR="002838BF" w:rsidRDefault="002838BF" w:rsidP="00FB7510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64E11A26" w14:textId="74C837E5" w:rsidR="00FB7510" w:rsidRDefault="00FB7510" w:rsidP="00FB7510">
      <w:pPr>
        <w:tabs>
          <w:tab w:val="left" w:pos="971"/>
        </w:tabs>
        <w:spacing w:after="0" w:line="240" w:lineRule="auto"/>
        <w:ind w:left="720"/>
        <w:rPr>
          <w:rFonts w:cs="ACaslonPro-Regular"/>
          <w:color w:val="210000"/>
        </w:rPr>
      </w:pPr>
      <w:r>
        <w:rPr>
          <w:rFonts w:cs="ACaslonPro-Regular"/>
          <w:b/>
          <w:i/>
          <w:color w:val="210000"/>
        </w:rPr>
        <w:t>If none of the above response options apply to you, please provide more information on your local arrangements below</w:t>
      </w:r>
    </w:p>
    <w:p w14:paraId="6293822F" w14:textId="124191A2" w:rsidR="002838BF" w:rsidRDefault="002838BF" w:rsidP="00DF302E">
      <w:pPr>
        <w:spacing w:after="120"/>
        <w:rPr>
          <w:rFonts w:cs="ACaslonPro-Regular"/>
          <w:b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E0533" wp14:editId="3C2C78DC">
                <wp:simplePos x="0" y="0"/>
                <wp:positionH relativeFrom="column">
                  <wp:posOffset>510540</wp:posOffset>
                </wp:positionH>
                <wp:positionV relativeFrom="paragraph">
                  <wp:posOffset>76200</wp:posOffset>
                </wp:positionV>
                <wp:extent cx="5857875" cy="923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6972" w14:textId="77777777" w:rsidR="002838BF" w:rsidRDefault="002838BF" w:rsidP="002838BF"/>
                          <w:p w14:paraId="3CB10CFC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.2pt;margin-top:6pt;width:461.2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">
                <v:textbox>
                  <w:txbxContent>
                    <w:p w14:paraId="2DC36972" w14:textId="77777777" w:rsidR="002838BF" w:rsidRDefault="002838BF" w:rsidP="002838BF"/>
                    <w:p w14:paraId="3CB10CFC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</w:p>
    <w:p w14:paraId="0647B33A" w14:textId="07B361F6" w:rsidR="002838BF" w:rsidRDefault="002838BF" w:rsidP="00DF302E">
      <w:pPr>
        <w:spacing w:after="120"/>
        <w:rPr>
          <w:rFonts w:cs="ACaslonPro-Regular"/>
          <w:b/>
          <w:color w:val="210000"/>
        </w:rPr>
      </w:pPr>
    </w:p>
    <w:p w14:paraId="07C1BC17" w14:textId="2E5967CB" w:rsidR="002838BF" w:rsidRDefault="002838BF" w:rsidP="00DF302E">
      <w:pPr>
        <w:spacing w:after="120"/>
        <w:rPr>
          <w:rFonts w:cs="ACaslonPro-Regular"/>
          <w:b/>
          <w:color w:val="210000"/>
        </w:rPr>
      </w:pPr>
    </w:p>
    <w:p w14:paraId="36EF9B62" w14:textId="2128C0C4" w:rsidR="002838BF" w:rsidRDefault="002838BF" w:rsidP="00DF302E">
      <w:pPr>
        <w:spacing w:after="120"/>
        <w:rPr>
          <w:rFonts w:cs="ACaslonPro-Regular"/>
          <w:b/>
          <w:color w:val="210000"/>
        </w:rPr>
      </w:pPr>
    </w:p>
    <w:p w14:paraId="682C874D" w14:textId="77777777" w:rsidR="00BF6106" w:rsidRDefault="00BF6106" w:rsidP="00DF302E">
      <w:pPr>
        <w:spacing w:after="120"/>
        <w:rPr>
          <w:rFonts w:cs="ACaslonPro-Regular"/>
          <w:b/>
          <w:color w:val="210000"/>
        </w:rPr>
      </w:pPr>
    </w:p>
    <w:p w14:paraId="0F4F7E07" w14:textId="77777777" w:rsidR="00BF6106" w:rsidRDefault="00BF6106" w:rsidP="00DF302E">
      <w:pPr>
        <w:spacing w:after="120"/>
        <w:rPr>
          <w:rFonts w:cs="ACaslonPro-Regular"/>
          <w:b/>
          <w:color w:val="210000"/>
        </w:rPr>
      </w:pPr>
    </w:p>
    <w:p w14:paraId="1C14423B" w14:textId="42E54977" w:rsidR="005B232E" w:rsidRPr="005B232E" w:rsidRDefault="005B232E" w:rsidP="00DF302E">
      <w:pPr>
        <w:spacing w:after="120"/>
        <w:rPr>
          <w:rFonts w:cs="ACaslonPro-Regular"/>
          <w:b/>
          <w:color w:val="210000"/>
        </w:rPr>
      </w:pPr>
      <w:r w:rsidRPr="005B232E">
        <w:rPr>
          <w:rFonts w:cs="ACaslonPro-Regular"/>
          <w:b/>
          <w:color w:val="210000"/>
        </w:rPr>
        <w:lastRenderedPageBreak/>
        <w:t>Non-pharmacological management of axial SpA</w:t>
      </w:r>
    </w:p>
    <w:p w14:paraId="7A574BEA" w14:textId="6961E59E" w:rsidR="00094E6C" w:rsidRDefault="00094E6C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 xml:space="preserve">What proportion of adults with axial </w:t>
      </w:r>
      <w:r w:rsidR="000C75FF">
        <w:rPr>
          <w:rFonts w:cs="ACaslonPro-Regular"/>
          <w:color w:val="210000"/>
        </w:rPr>
        <w:t>SpA (AS)</w:t>
      </w:r>
      <w:r w:rsidR="000C75FF" w:rsidRPr="00A15A39">
        <w:rPr>
          <w:rFonts w:cs="ACaslonPro-Regular"/>
          <w:color w:val="210000"/>
        </w:rPr>
        <w:t xml:space="preserve"> </w:t>
      </w:r>
      <w:r w:rsidRPr="00A15A39">
        <w:rPr>
          <w:rFonts w:cs="ACaslonPro-Regular"/>
          <w:color w:val="210000"/>
        </w:rPr>
        <w:t>are referred to a specialist physiotherapist for a structured exercise programme</w:t>
      </w:r>
      <w:r w:rsidR="00B00F20" w:rsidRPr="00A15A39">
        <w:rPr>
          <w:rFonts w:cs="ACaslonPro-Regular"/>
          <w:color w:val="210000"/>
        </w:rPr>
        <w:t xml:space="preserve"> within your local area</w:t>
      </w:r>
      <w:r w:rsidR="00A66786" w:rsidRPr="00A15A39">
        <w:rPr>
          <w:rFonts w:cs="ACaslonPro-Regular"/>
          <w:color w:val="210000"/>
        </w:rPr>
        <w:t xml:space="preserve"> when first diagnosed</w:t>
      </w:r>
      <w:r w:rsidRPr="00A15A39">
        <w:rPr>
          <w:rFonts w:cs="ACaslonPro-Regular"/>
          <w:color w:val="210000"/>
        </w:rPr>
        <w:t>?</w:t>
      </w:r>
    </w:p>
    <w:p w14:paraId="18DD706D" w14:textId="2C694BFA" w:rsidR="002838BF" w:rsidRPr="00015EBC" w:rsidRDefault="002838BF" w:rsidP="002838BF">
      <w:pPr>
        <w:pStyle w:val="ListParagraph"/>
        <w:rPr>
          <w:rFonts w:cs="ACaslonPro-Regular"/>
          <w:b/>
          <w:i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DE3B19" wp14:editId="49CF087C">
                <wp:simplePos x="0" y="0"/>
                <wp:positionH relativeFrom="column">
                  <wp:posOffset>397510</wp:posOffset>
                </wp:positionH>
                <wp:positionV relativeFrom="paragraph">
                  <wp:posOffset>277495</wp:posOffset>
                </wp:positionV>
                <wp:extent cx="5857875" cy="52197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2A13" w14:textId="77777777" w:rsidR="002838BF" w:rsidRDefault="002838BF" w:rsidP="002838BF"/>
                          <w:p w14:paraId="330E2585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.3pt;margin-top:21.85pt;width:461.25pt;height:41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JcJwIAAEs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">
                <v:textbox>
                  <w:txbxContent>
                    <w:p w14:paraId="774F2A13" w14:textId="77777777" w:rsidR="002838BF" w:rsidRDefault="002838BF" w:rsidP="002838BF"/>
                    <w:p w14:paraId="330E2585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CaslonPro-Regular"/>
          <w:b/>
          <w:i/>
          <w:color w:val="210000"/>
        </w:rPr>
        <w:t>Please provide details below</w:t>
      </w:r>
    </w:p>
    <w:p w14:paraId="6DBA1C61" w14:textId="76987165" w:rsidR="0021320E" w:rsidRDefault="0021320E" w:rsidP="0021320E">
      <w:pPr>
        <w:pStyle w:val="ListParagraph"/>
        <w:spacing w:after="0"/>
        <w:rPr>
          <w:rFonts w:cs="ACaslonPro-Regular"/>
          <w:color w:val="210000"/>
        </w:rPr>
      </w:pPr>
    </w:p>
    <w:p w14:paraId="77A278FA" w14:textId="77777777" w:rsidR="00BF6106" w:rsidRDefault="00BF6106" w:rsidP="00DF302E">
      <w:pPr>
        <w:spacing w:after="120"/>
        <w:rPr>
          <w:rFonts w:cs="ACaslonPro-Regular"/>
          <w:b/>
          <w:color w:val="210000"/>
        </w:rPr>
      </w:pPr>
    </w:p>
    <w:p w14:paraId="64407ED3" w14:textId="77777777" w:rsidR="00BF6106" w:rsidRDefault="00BF6106" w:rsidP="00DF302E">
      <w:pPr>
        <w:spacing w:after="120"/>
        <w:rPr>
          <w:rFonts w:cs="ACaslonPro-Regular"/>
          <w:b/>
          <w:color w:val="210000"/>
        </w:rPr>
      </w:pPr>
    </w:p>
    <w:p w14:paraId="0682DA39" w14:textId="69063DE2" w:rsidR="00782984" w:rsidRPr="00782984" w:rsidRDefault="00782984" w:rsidP="00DF302E">
      <w:pPr>
        <w:spacing w:after="120"/>
        <w:rPr>
          <w:rFonts w:cs="ACaslonPro-Regular"/>
          <w:b/>
          <w:color w:val="210000"/>
        </w:rPr>
      </w:pPr>
      <w:r w:rsidRPr="00782984">
        <w:rPr>
          <w:rFonts w:cs="ACaslonPro-Regular"/>
          <w:b/>
          <w:color w:val="210000"/>
        </w:rPr>
        <w:t>Flare management</w:t>
      </w:r>
    </w:p>
    <w:p w14:paraId="6E64A51D" w14:textId="1A9D24D7" w:rsidR="00BC22AB" w:rsidRDefault="00782984" w:rsidP="00A15A39">
      <w:pPr>
        <w:pStyle w:val="ListParagraph"/>
        <w:numPr>
          <w:ilvl w:val="0"/>
          <w:numId w:val="23"/>
        </w:numPr>
        <w:spacing w:after="0" w:line="240" w:lineRule="auto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 xml:space="preserve">What percentage of patients </w:t>
      </w:r>
      <w:r w:rsidR="000C75FF">
        <w:rPr>
          <w:rFonts w:cs="ACaslonPro-Regular"/>
          <w:color w:val="210000"/>
        </w:rPr>
        <w:t xml:space="preserve">with axial SpA (AS) </w:t>
      </w:r>
      <w:r w:rsidRPr="00A15A39">
        <w:rPr>
          <w:rFonts w:cs="ACaslonPro-Regular"/>
          <w:color w:val="210000"/>
        </w:rPr>
        <w:t>have a written care plan to support them with a flare?</w:t>
      </w:r>
    </w:p>
    <w:p w14:paraId="2161B742" w14:textId="7C56DBC6" w:rsidR="002838BF" w:rsidRPr="00BF6106" w:rsidRDefault="002838BF" w:rsidP="00BF6106">
      <w:pPr>
        <w:pStyle w:val="ListParagraph"/>
        <w:rPr>
          <w:rFonts w:cs="ACaslonPro-Regular"/>
          <w:b/>
          <w:i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203D23" wp14:editId="36D64DC5">
                <wp:simplePos x="0" y="0"/>
                <wp:positionH relativeFrom="column">
                  <wp:posOffset>397510</wp:posOffset>
                </wp:positionH>
                <wp:positionV relativeFrom="paragraph">
                  <wp:posOffset>277495</wp:posOffset>
                </wp:positionV>
                <wp:extent cx="5857875" cy="521970"/>
                <wp:effectExtent l="0" t="0" r="285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54A0" w14:textId="77777777" w:rsidR="002838BF" w:rsidRDefault="002838BF" w:rsidP="002838BF"/>
                          <w:p w14:paraId="050D3520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.3pt;margin-top:21.85pt;width:461.25pt;height:4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">
                <v:textbox>
                  <w:txbxContent>
                    <w:p w14:paraId="197A54A0" w14:textId="77777777" w:rsidR="002838BF" w:rsidRDefault="002838BF" w:rsidP="002838BF"/>
                    <w:p w14:paraId="050D3520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CaslonPro-Regular"/>
          <w:b/>
          <w:i/>
          <w:color w:val="210000"/>
        </w:rPr>
        <w:t>Please provide details below</w:t>
      </w:r>
    </w:p>
    <w:p w14:paraId="4BE39C5D" w14:textId="71C15834" w:rsidR="00F65712" w:rsidRPr="00076898" w:rsidRDefault="00F65712" w:rsidP="00D61EDC">
      <w:pPr>
        <w:spacing w:after="120"/>
        <w:rPr>
          <w:rFonts w:cs="ACaslonPro-Regular"/>
          <w:b/>
          <w:color w:val="210000"/>
        </w:rPr>
      </w:pPr>
      <w:r w:rsidRPr="00076898">
        <w:rPr>
          <w:rFonts w:cs="ACaslonPro-Regular"/>
          <w:b/>
          <w:color w:val="210000"/>
        </w:rPr>
        <w:t>Organisation of care</w:t>
      </w:r>
    </w:p>
    <w:p w14:paraId="14428FC4" w14:textId="6E588A03" w:rsidR="00F65712" w:rsidRDefault="00076898" w:rsidP="00A15A39">
      <w:pPr>
        <w:pStyle w:val="ListParagraph"/>
        <w:numPr>
          <w:ilvl w:val="0"/>
          <w:numId w:val="23"/>
        </w:numPr>
        <w:spacing w:after="12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>Do</w:t>
      </w:r>
      <w:r w:rsidR="00A15A39" w:rsidRPr="00A15A39">
        <w:rPr>
          <w:rFonts w:cs="ACaslonPro-Regular"/>
          <w:color w:val="210000"/>
        </w:rPr>
        <w:t>es the Trust</w:t>
      </w:r>
      <w:r w:rsidRPr="00A15A39">
        <w:rPr>
          <w:rFonts w:cs="ACaslonPro-Regular"/>
          <w:color w:val="210000"/>
        </w:rPr>
        <w:t xml:space="preserve"> have a dedicated axial SpA </w:t>
      </w:r>
      <w:r w:rsidR="000C75FF">
        <w:rPr>
          <w:rFonts w:cs="ACaslonPro-Regular"/>
          <w:color w:val="210000"/>
        </w:rPr>
        <w:t xml:space="preserve">(AS) </w:t>
      </w:r>
      <w:r w:rsidRPr="00A15A39">
        <w:rPr>
          <w:rFonts w:cs="ACaslonPro-Regular"/>
          <w:color w:val="210000"/>
        </w:rPr>
        <w:t>clinic?</w:t>
      </w:r>
    </w:p>
    <w:p w14:paraId="73101989" w14:textId="65DB6FCE" w:rsidR="008D67EB" w:rsidRDefault="008D67EB" w:rsidP="008D67EB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p w14:paraId="460E50E4" w14:textId="4A56F52F" w:rsidR="00C64A07" w:rsidRDefault="00C64A07" w:rsidP="00C64A07">
      <w:pPr>
        <w:pStyle w:val="ListParagraph"/>
        <w:spacing w:after="0"/>
        <w:ind w:left="1077"/>
        <w:contextualSpacing w:val="0"/>
        <w:rPr>
          <w:rFonts w:cs="ACaslonPro-Regular"/>
          <w:color w:val="21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2838BF" w:rsidRPr="00EB2A4D" w14:paraId="36DA7DEE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1F558E61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3043DF4E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2838BF" w14:paraId="3FABD44D" w14:textId="77777777" w:rsidTr="00DC0B8E">
        <w:tc>
          <w:tcPr>
            <w:tcW w:w="4739" w:type="dxa"/>
          </w:tcPr>
          <w:p w14:paraId="771DD356" w14:textId="77777777" w:rsidR="002838BF" w:rsidRPr="00EB2A4D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Yes</w:t>
            </w:r>
          </w:p>
        </w:tc>
        <w:tc>
          <w:tcPr>
            <w:tcW w:w="4735" w:type="dxa"/>
          </w:tcPr>
          <w:p w14:paraId="4E41717E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2838BF" w14:paraId="012AAE4D" w14:textId="77777777" w:rsidTr="00DC0B8E">
        <w:tc>
          <w:tcPr>
            <w:tcW w:w="4739" w:type="dxa"/>
          </w:tcPr>
          <w:p w14:paraId="3DFC6C88" w14:textId="77777777" w:rsidR="002838BF" w:rsidRPr="00EB2A4D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No</w:t>
            </w:r>
          </w:p>
        </w:tc>
        <w:tc>
          <w:tcPr>
            <w:tcW w:w="4735" w:type="dxa"/>
          </w:tcPr>
          <w:p w14:paraId="17DC8017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</w:tbl>
    <w:p w14:paraId="0508F6B3" w14:textId="43ECF6B6" w:rsidR="002838BF" w:rsidRDefault="002838BF" w:rsidP="00C64A07">
      <w:pPr>
        <w:pStyle w:val="ListParagraph"/>
        <w:spacing w:after="0"/>
        <w:ind w:left="1077"/>
        <w:contextualSpacing w:val="0"/>
        <w:rPr>
          <w:rFonts w:cs="ACaslonPro-Regular"/>
        </w:rPr>
      </w:pPr>
    </w:p>
    <w:p w14:paraId="463CE5B9" w14:textId="1CF8F8B2" w:rsidR="00FB7510" w:rsidRDefault="002838BF" w:rsidP="00FB7510">
      <w:pPr>
        <w:tabs>
          <w:tab w:val="left" w:pos="971"/>
        </w:tabs>
        <w:spacing w:after="0" w:line="240" w:lineRule="auto"/>
        <w:ind w:left="720"/>
        <w:rPr>
          <w:rFonts w:cs="ACaslonPro-Regular"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97B236" wp14:editId="75D16F7E">
                <wp:simplePos x="0" y="0"/>
                <wp:positionH relativeFrom="column">
                  <wp:posOffset>405443</wp:posOffset>
                </wp:positionH>
                <wp:positionV relativeFrom="paragraph">
                  <wp:posOffset>434340</wp:posOffset>
                </wp:positionV>
                <wp:extent cx="5857875" cy="923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2662" w14:textId="77777777" w:rsidR="002838BF" w:rsidRDefault="002838BF" w:rsidP="002838BF"/>
                          <w:p w14:paraId="6F5C3186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.9pt;margin-top:34.2pt;width:461.25pt;height:7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">
                <v:textbox>
                  <w:txbxContent>
                    <w:p w14:paraId="21DB2662" w14:textId="77777777" w:rsidR="002838BF" w:rsidRDefault="002838BF" w:rsidP="002838BF"/>
                    <w:p w14:paraId="6F5C3186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  <w:r w:rsidR="00FB7510">
        <w:rPr>
          <w:rFonts w:cs="ACaslonPro-Regular"/>
          <w:b/>
          <w:i/>
          <w:color w:val="210000"/>
        </w:rPr>
        <w:t>If neither of the above response options apply to you, please provide more information on your local arrangements below</w:t>
      </w:r>
    </w:p>
    <w:p w14:paraId="4E76FFB7" w14:textId="0F431E95" w:rsidR="00FB7510" w:rsidRDefault="00FB7510" w:rsidP="00C64A07">
      <w:pPr>
        <w:pStyle w:val="ListParagraph"/>
        <w:spacing w:after="0"/>
        <w:ind w:left="1077"/>
        <w:contextualSpacing w:val="0"/>
        <w:rPr>
          <w:rFonts w:cs="ACaslonPro-Regular"/>
        </w:rPr>
      </w:pPr>
    </w:p>
    <w:p w14:paraId="194E3E6B" w14:textId="77777777" w:rsidR="00BF6106" w:rsidRDefault="00BF6106" w:rsidP="00D61EDC">
      <w:pPr>
        <w:spacing w:after="120"/>
        <w:rPr>
          <w:rFonts w:cs="ACaslonPro-Regular"/>
          <w:b/>
          <w:color w:val="210000"/>
        </w:rPr>
      </w:pPr>
    </w:p>
    <w:p w14:paraId="69BD5993" w14:textId="77777777" w:rsidR="00BF6106" w:rsidRDefault="00BF6106" w:rsidP="00D61EDC">
      <w:pPr>
        <w:spacing w:after="120"/>
        <w:rPr>
          <w:rFonts w:cs="ACaslonPro-Regular"/>
          <w:b/>
          <w:color w:val="210000"/>
        </w:rPr>
      </w:pPr>
    </w:p>
    <w:p w14:paraId="202239EA" w14:textId="77777777" w:rsidR="00BF6106" w:rsidRDefault="00BF6106" w:rsidP="00D61EDC">
      <w:pPr>
        <w:spacing w:after="120"/>
        <w:rPr>
          <w:rFonts w:cs="ACaslonPro-Regular"/>
          <w:b/>
          <w:color w:val="210000"/>
        </w:rPr>
      </w:pPr>
    </w:p>
    <w:p w14:paraId="1C792E33" w14:textId="77777777" w:rsidR="00BF6106" w:rsidRDefault="00BF6106" w:rsidP="00D61EDC">
      <w:pPr>
        <w:spacing w:after="120"/>
        <w:rPr>
          <w:rFonts w:cs="ACaslonPro-Regular"/>
          <w:b/>
          <w:color w:val="210000"/>
        </w:rPr>
      </w:pPr>
    </w:p>
    <w:p w14:paraId="2B9C4B4D" w14:textId="01732BFC" w:rsidR="00076898" w:rsidRPr="00076898" w:rsidRDefault="00076898" w:rsidP="00D61EDC">
      <w:pPr>
        <w:spacing w:after="120"/>
        <w:rPr>
          <w:rFonts w:cs="ACaslonPro-Regular"/>
          <w:b/>
          <w:color w:val="210000"/>
        </w:rPr>
      </w:pPr>
      <w:r w:rsidRPr="00076898">
        <w:rPr>
          <w:rFonts w:cs="ACaslonPro-Regular"/>
          <w:b/>
          <w:color w:val="210000"/>
        </w:rPr>
        <w:t>Mental health and well being</w:t>
      </w:r>
    </w:p>
    <w:p w14:paraId="3A6B2682" w14:textId="700A93D1" w:rsidR="00076898" w:rsidRDefault="00076898" w:rsidP="009C2A98">
      <w:pPr>
        <w:pStyle w:val="ListParagraph"/>
        <w:numPr>
          <w:ilvl w:val="0"/>
          <w:numId w:val="23"/>
        </w:numPr>
        <w:spacing w:after="120"/>
        <w:rPr>
          <w:rFonts w:cs="ACaslonPro-Regular"/>
          <w:color w:val="210000"/>
        </w:rPr>
      </w:pPr>
      <w:r w:rsidRPr="009C2A98">
        <w:rPr>
          <w:rFonts w:cs="ACaslonPro-Regular"/>
          <w:color w:val="210000"/>
        </w:rPr>
        <w:t>Are</w:t>
      </w:r>
      <w:r w:rsidR="000C75FF">
        <w:rPr>
          <w:rFonts w:cs="ACaslonPro-Regular"/>
          <w:color w:val="210000"/>
        </w:rPr>
        <w:t xml:space="preserve"> axial SpA (AS)</w:t>
      </w:r>
      <w:r w:rsidRPr="009C2A98">
        <w:rPr>
          <w:rFonts w:cs="ACaslonPro-Regular"/>
          <w:color w:val="210000"/>
        </w:rPr>
        <w:t xml:space="preserve"> patients </w:t>
      </w:r>
      <w:r w:rsidR="00B14FB6">
        <w:rPr>
          <w:rFonts w:cs="ACaslonPro-Regular"/>
          <w:color w:val="210000"/>
        </w:rPr>
        <w:t xml:space="preserve">under the care of a rheumatologist </w:t>
      </w:r>
      <w:r w:rsidRPr="009C2A98">
        <w:rPr>
          <w:rFonts w:cs="ACaslonPro-Regular"/>
          <w:color w:val="210000"/>
        </w:rPr>
        <w:t>offered access to psychological services?</w:t>
      </w:r>
    </w:p>
    <w:p w14:paraId="20181B7F" w14:textId="46EB4B9A" w:rsidR="00DF302E" w:rsidRDefault="00DF302E" w:rsidP="00DF302E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p w14:paraId="2CE4F31B" w14:textId="5C7D5ABA" w:rsidR="00B14FB6" w:rsidRDefault="00B14FB6" w:rsidP="008D67EB">
      <w:pPr>
        <w:pStyle w:val="ListParagraph"/>
        <w:rPr>
          <w:rFonts w:cs="ACaslonPro-Regular"/>
          <w:color w:val="21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2838BF" w:rsidRPr="00EB2A4D" w14:paraId="54C958A3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5EA030E4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42807305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2838BF" w14:paraId="7B31D92F" w14:textId="77777777" w:rsidTr="00DC0B8E">
        <w:tc>
          <w:tcPr>
            <w:tcW w:w="4739" w:type="dxa"/>
          </w:tcPr>
          <w:p w14:paraId="4B5A4C8A" w14:textId="77777777" w:rsidR="002838BF" w:rsidRPr="00EB2A4D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Yes</w:t>
            </w:r>
          </w:p>
        </w:tc>
        <w:tc>
          <w:tcPr>
            <w:tcW w:w="4735" w:type="dxa"/>
          </w:tcPr>
          <w:p w14:paraId="6237367A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2838BF" w14:paraId="37A1A820" w14:textId="77777777" w:rsidTr="00DC0B8E">
        <w:tc>
          <w:tcPr>
            <w:tcW w:w="4739" w:type="dxa"/>
          </w:tcPr>
          <w:p w14:paraId="4265CB5F" w14:textId="77777777" w:rsidR="002838BF" w:rsidRPr="00EB2A4D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No</w:t>
            </w:r>
          </w:p>
        </w:tc>
        <w:tc>
          <w:tcPr>
            <w:tcW w:w="4735" w:type="dxa"/>
          </w:tcPr>
          <w:p w14:paraId="5637D98C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</w:tbl>
    <w:p w14:paraId="500E6710" w14:textId="5394B451" w:rsidR="002838BF" w:rsidRDefault="002838BF" w:rsidP="008D67EB">
      <w:pPr>
        <w:pStyle w:val="ListParagraph"/>
        <w:rPr>
          <w:rFonts w:cs="ACaslonPro-Regular"/>
          <w:color w:val="210000"/>
        </w:rPr>
      </w:pPr>
    </w:p>
    <w:p w14:paraId="404B6A90" w14:textId="2B3A3238" w:rsidR="00F65712" w:rsidRDefault="00B14FB6" w:rsidP="00E908C7">
      <w:pPr>
        <w:pStyle w:val="ListParagraph"/>
        <w:rPr>
          <w:rFonts w:cs="ACaslonPro-Regular"/>
          <w:b/>
          <w:i/>
          <w:color w:val="210000"/>
        </w:rPr>
      </w:pPr>
      <w:r w:rsidRPr="00DF302E">
        <w:rPr>
          <w:rFonts w:cs="ACaslonPro-Regular"/>
          <w:b/>
          <w:i/>
          <w:color w:val="210000"/>
        </w:rPr>
        <w:t xml:space="preserve">If you ticked </w:t>
      </w:r>
      <w:r w:rsidR="00DF302E">
        <w:rPr>
          <w:rFonts w:cs="ACaslonPro-Regular"/>
          <w:b/>
          <w:i/>
          <w:color w:val="210000"/>
        </w:rPr>
        <w:t>‘</w:t>
      </w:r>
      <w:r w:rsidRPr="00DF302E">
        <w:rPr>
          <w:rFonts w:cs="ACaslonPro-Regular"/>
          <w:b/>
          <w:i/>
          <w:color w:val="210000"/>
        </w:rPr>
        <w:t>yes</w:t>
      </w:r>
      <w:r w:rsidR="00DF302E">
        <w:rPr>
          <w:rFonts w:cs="ACaslonPro-Regular"/>
          <w:b/>
          <w:i/>
          <w:color w:val="210000"/>
        </w:rPr>
        <w:t>’,</w:t>
      </w:r>
      <w:r w:rsidRPr="00DF302E">
        <w:rPr>
          <w:rFonts w:cs="ACaslonPro-Regular"/>
          <w:b/>
          <w:i/>
          <w:color w:val="210000"/>
        </w:rPr>
        <w:t xml:space="preserve"> please specify the services on off</w:t>
      </w:r>
      <w:r w:rsidR="00DF302E">
        <w:rPr>
          <w:rFonts w:cs="ACaslonPro-Regular"/>
          <w:b/>
          <w:i/>
          <w:color w:val="210000"/>
        </w:rPr>
        <w:t>e</w:t>
      </w:r>
      <w:r w:rsidRPr="00DF302E">
        <w:rPr>
          <w:rFonts w:cs="ACaslonPro-Regular"/>
          <w:b/>
          <w:i/>
          <w:color w:val="210000"/>
        </w:rPr>
        <w:t>r</w:t>
      </w:r>
    </w:p>
    <w:p w14:paraId="72A54869" w14:textId="77777777" w:rsidR="00BF6106" w:rsidRDefault="00BF6106" w:rsidP="00E908C7">
      <w:pPr>
        <w:pStyle w:val="ListParagraph"/>
        <w:rPr>
          <w:rFonts w:cs="ACaslonPro-Regular"/>
          <w:b/>
          <w:i/>
          <w:color w:val="210000"/>
        </w:rPr>
      </w:pPr>
    </w:p>
    <w:p w14:paraId="3693950F" w14:textId="29C6788C" w:rsidR="00BF6106" w:rsidRPr="00BF6106" w:rsidRDefault="00BF6106" w:rsidP="00BF6106">
      <w:pPr>
        <w:pStyle w:val="ListParagraph"/>
        <w:rPr>
          <w:rFonts w:ascii="Arial" w:hAnsi="Arial" w:cs="Arial"/>
          <w:color w:val="0070C0"/>
        </w:rPr>
      </w:pPr>
      <w:r w:rsidRPr="00BF6106">
        <w:rPr>
          <w:rFonts w:ascii="Arial" w:hAnsi="Arial" w:cs="Arial"/>
          <w:color w:val="0070C0"/>
        </w:rPr>
        <w:t xml:space="preserve">For question 2-10 NHS </w:t>
      </w:r>
      <w:r w:rsidR="000B286B">
        <w:rPr>
          <w:rFonts w:ascii="Arial" w:hAnsi="Arial" w:cs="Arial"/>
          <w:color w:val="0070C0"/>
        </w:rPr>
        <w:t>Southport and Formby</w:t>
      </w:r>
      <w:r w:rsidRPr="00BF6106">
        <w:rPr>
          <w:rFonts w:ascii="Arial" w:hAnsi="Arial" w:cs="Arial"/>
          <w:color w:val="0070C0"/>
        </w:rPr>
        <w:t xml:space="preserve"> CCG does not hold this information, you may wish to refer your query </w:t>
      </w:r>
      <w:proofErr w:type="gramStart"/>
      <w:r w:rsidRPr="00BF6106">
        <w:rPr>
          <w:rFonts w:ascii="Arial" w:hAnsi="Arial" w:cs="Arial"/>
          <w:color w:val="0070C0"/>
        </w:rPr>
        <w:t>to  -</w:t>
      </w:r>
      <w:proofErr w:type="gramEnd"/>
      <w:r w:rsidRPr="00BF6106">
        <w:rPr>
          <w:rFonts w:ascii="Arial" w:hAnsi="Arial" w:cs="Arial"/>
          <w:color w:val="0070C0"/>
        </w:rPr>
        <w:t xml:space="preserve"> </w:t>
      </w:r>
    </w:p>
    <w:p w14:paraId="23CCA15B" w14:textId="77777777" w:rsidR="00BF6106" w:rsidRPr="00BF6106" w:rsidRDefault="00BF6106" w:rsidP="00BF6106">
      <w:pPr>
        <w:pStyle w:val="ListParagraph"/>
        <w:rPr>
          <w:rFonts w:ascii="Arial" w:hAnsi="Arial" w:cs="Arial"/>
          <w:color w:val="0070C0"/>
        </w:rPr>
      </w:pPr>
    </w:p>
    <w:p w14:paraId="3DF96994" w14:textId="77777777" w:rsidR="000B286B" w:rsidRPr="000B286B" w:rsidRDefault="000B286B" w:rsidP="000B286B">
      <w:pPr>
        <w:pStyle w:val="ListParagraph"/>
        <w:rPr>
          <w:rFonts w:ascii="Arial" w:hAnsi="Arial" w:cs="Arial"/>
          <w:color w:val="0070C0"/>
        </w:rPr>
      </w:pPr>
      <w:r w:rsidRPr="000B286B">
        <w:rPr>
          <w:rFonts w:ascii="Arial" w:hAnsi="Arial" w:cs="Arial"/>
          <w:color w:val="0070C0"/>
        </w:rPr>
        <w:t xml:space="preserve">Southport &amp; </w:t>
      </w:r>
      <w:proofErr w:type="spellStart"/>
      <w:r w:rsidRPr="000B286B">
        <w:rPr>
          <w:rFonts w:ascii="Arial" w:hAnsi="Arial" w:cs="Arial"/>
          <w:color w:val="0070C0"/>
        </w:rPr>
        <w:t>Ormskirk</w:t>
      </w:r>
      <w:proofErr w:type="spellEnd"/>
      <w:r w:rsidRPr="000B286B">
        <w:rPr>
          <w:rFonts w:ascii="Arial" w:hAnsi="Arial" w:cs="Arial"/>
          <w:color w:val="0070C0"/>
        </w:rPr>
        <w:t xml:space="preserve"> Hospital NHS Trust</w:t>
      </w:r>
    </w:p>
    <w:p w14:paraId="6FEE14BE" w14:textId="7BA5FEE0" w:rsidR="00BF6106" w:rsidRPr="00BF6106" w:rsidRDefault="000B286B" w:rsidP="000B286B">
      <w:pPr>
        <w:pStyle w:val="ListParagraph"/>
        <w:rPr>
          <w:rFonts w:ascii="Arial" w:hAnsi="Arial" w:cs="Arial"/>
          <w:color w:val="210000"/>
        </w:rPr>
      </w:pPr>
      <w:hyperlink r:id="rId12" w:history="1">
        <w:r w:rsidRPr="00B838F9">
          <w:rPr>
            <w:rStyle w:val="Hyperlink"/>
            <w:rFonts w:ascii="Arial" w:hAnsi="Arial" w:cs="Arial"/>
          </w:rPr>
          <w:t>soh-tr.foi@nhs.net</w:t>
        </w:r>
      </w:hyperlink>
      <w:r>
        <w:rPr>
          <w:rFonts w:ascii="Arial" w:hAnsi="Arial" w:cs="Arial"/>
          <w:color w:val="0070C0"/>
        </w:rPr>
        <w:t xml:space="preserve"> </w:t>
      </w:r>
      <w:bookmarkStart w:id="2" w:name="_GoBack"/>
      <w:bookmarkEnd w:id="2"/>
    </w:p>
    <w:sectPr w:rsidR="00BF6106" w:rsidRPr="00BF6106" w:rsidSect="00EB2A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0" w:left="851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6C3BD" w14:textId="77777777" w:rsidR="00D020B9" w:rsidRDefault="00D020B9" w:rsidP="005732E4">
      <w:pPr>
        <w:spacing w:after="0" w:line="240" w:lineRule="auto"/>
      </w:pPr>
      <w:r>
        <w:separator/>
      </w:r>
    </w:p>
  </w:endnote>
  <w:endnote w:type="continuationSeparator" w:id="0">
    <w:p w14:paraId="5C4EB7C3" w14:textId="77777777" w:rsidR="00D020B9" w:rsidRDefault="00D020B9" w:rsidP="0057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sl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F543" w14:textId="77777777" w:rsidR="00DF302E" w:rsidRDefault="00DF3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E3D4" w14:textId="4407A3EF" w:rsidR="00165667" w:rsidRDefault="00165667" w:rsidP="00165667">
    <w:pPr>
      <w:pStyle w:val="Footer"/>
      <w:tabs>
        <w:tab w:val="left" w:pos="7284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18D" w14:textId="77777777" w:rsidR="00DF302E" w:rsidRDefault="00DF3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A1CB" w14:textId="77777777" w:rsidR="00D020B9" w:rsidRDefault="00D020B9" w:rsidP="005732E4">
      <w:pPr>
        <w:spacing w:after="0" w:line="240" w:lineRule="auto"/>
      </w:pPr>
      <w:r>
        <w:separator/>
      </w:r>
    </w:p>
  </w:footnote>
  <w:footnote w:type="continuationSeparator" w:id="0">
    <w:p w14:paraId="214910A8" w14:textId="77777777" w:rsidR="00D020B9" w:rsidRDefault="00D020B9" w:rsidP="0057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5AD3" w14:textId="77777777" w:rsidR="00DF302E" w:rsidRDefault="00DF3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7C2C" w14:textId="408037E7" w:rsidR="00DF302E" w:rsidRDefault="00DF3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DCEC" w14:textId="77777777" w:rsidR="00DF302E" w:rsidRDefault="00DF3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89"/>
    <w:multiLevelType w:val="hybridMultilevel"/>
    <w:tmpl w:val="C10EA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E6F3C"/>
    <w:multiLevelType w:val="hybridMultilevel"/>
    <w:tmpl w:val="3578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8C7"/>
    <w:multiLevelType w:val="hybridMultilevel"/>
    <w:tmpl w:val="ED42800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1C97F0D"/>
    <w:multiLevelType w:val="hybridMultilevel"/>
    <w:tmpl w:val="DC44C3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F49E0"/>
    <w:multiLevelType w:val="hybridMultilevel"/>
    <w:tmpl w:val="A606A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2A403C"/>
    <w:multiLevelType w:val="hybridMultilevel"/>
    <w:tmpl w:val="0938F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1C74"/>
    <w:multiLevelType w:val="hybridMultilevel"/>
    <w:tmpl w:val="86B67888"/>
    <w:lvl w:ilvl="0" w:tplc="3D4E3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71E3"/>
    <w:multiLevelType w:val="hybridMultilevel"/>
    <w:tmpl w:val="DE5AC72E"/>
    <w:lvl w:ilvl="0" w:tplc="19C02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376B"/>
    <w:multiLevelType w:val="hybridMultilevel"/>
    <w:tmpl w:val="3CB2FB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03502"/>
    <w:multiLevelType w:val="hybridMultilevel"/>
    <w:tmpl w:val="ACAA8D34"/>
    <w:lvl w:ilvl="0" w:tplc="19C02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3276C"/>
    <w:multiLevelType w:val="hybridMultilevel"/>
    <w:tmpl w:val="35E6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F5FCE"/>
    <w:multiLevelType w:val="hybridMultilevel"/>
    <w:tmpl w:val="3EA2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E2F31"/>
    <w:multiLevelType w:val="hybridMultilevel"/>
    <w:tmpl w:val="3A36714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6050C"/>
    <w:multiLevelType w:val="hybridMultilevel"/>
    <w:tmpl w:val="93220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401D6"/>
    <w:multiLevelType w:val="hybridMultilevel"/>
    <w:tmpl w:val="48B23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F06F62"/>
    <w:multiLevelType w:val="hybridMultilevel"/>
    <w:tmpl w:val="C8561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74DA1"/>
    <w:multiLevelType w:val="hybridMultilevel"/>
    <w:tmpl w:val="BD8A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46E16"/>
    <w:multiLevelType w:val="hybridMultilevel"/>
    <w:tmpl w:val="34203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C44C86"/>
    <w:multiLevelType w:val="hybridMultilevel"/>
    <w:tmpl w:val="0DBE9D5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473AD"/>
    <w:multiLevelType w:val="hybridMultilevel"/>
    <w:tmpl w:val="10FE39A8"/>
    <w:lvl w:ilvl="0" w:tplc="3D4E3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D9746"/>
    <w:multiLevelType w:val="hybridMultilevel"/>
    <w:tmpl w:val="48BB64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9D6A44"/>
    <w:multiLevelType w:val="hybridMultilevel"/>
    <w:tmpl w:val="008C5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836A3D"/>
    <w:multiLevelType w:val="hybridMultilevel"/>
    <w:tmpl w:val="7AEC1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E556E"/>
    <w:multiLevelType w:val="hybridMultilevel"/>
    <w:tmpl w:val="6B6A2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F26C67"/>
    <w:multiLevelType w:val="hybridMultilevel"/>
    <w:tmpl w:val="CA2C9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F4D8E"/>
    <w:multiLevelType w:val="hybridMultilevel"/>
    <w:tmpl w:val="02B67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223121"/>
    <w:multiLevelType w:val="hybridMultilevel"/>
    <w:tmpl w:val="1DF6C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D51A5"/>
    <w:multiLevelType w:val="hybridMultilevel"/>
    <w:tmpl w:val="0DBE9D5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280D4C"/>
    <w:multiLevelType w:val="hybridMultilevel"/>
    <w:tmpl w:val="93525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C3172"/>
    <w:multiLevelType w:val="hybridMultilevel"/>
    <w:tmpl w:val="31C25F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EE373F"/>
    <w:multiLevelType w:val="hybridMultilevel"/>
    <w:tmpl w:val="5A6A0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7B1139"/>
    <w:multiLevelType w:val="hybridMultilevel"/>
    <w:tmpl w:val="ED20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24328"/>
    <w:multiLevelType w:val="hybridMultilevel"/>
    <w:tmpl w:val="1FDC7B5E"/>
    <w:lvl w:ilvl="0" w:tplc="3D4E3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8371A"/>
    <w:multiLevelType w:val="hybridMultilevel"/>
    <w:tmpl w:val="3758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F016F"/>
    <w:multiLevelType w:val="hybridMultilevel"/>
    <w:tmpl w:val="4650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6"/>
  </w:num>
  <w:num w:numId="4">
    <w:abstractNumId w:val="33"/>
  </w:num>
  <w:num w:numId="5">
    <w:abstractNumId w:val="2"/>
  </w:num>
  <w:num w:numId="6">
    <w:abstractNumId w:val="24"/>
  </w:num>
  <w:num w:numId="7">
    <w:abstractNumId w:val="26"/>
  </w:num>
  <w:num w:numId="8">
    <w:abstractNumId w:val="19"/>
  </w:num>
  <w:num w:numId="9">
    <w:abstractNumId w:val="18"/>
  </w:num>
  <w:num w:numId="10">
    <w:abstractNumId w:val="27"/>
  </w:num>
  <w:num w:numId="11">
    <w:abstractNumId w:val="12"/>
  </w:num>
  <w:num w:numId="12">
    <w:abstractNumId w:val="6"/>
  </w:num>
  <w:num w:numId="13">
    <w:abstractNumId w:val="32"/>
  </w:num>
  <w:num w:numId="14">
    <w:abstractNumId w:val="11"/>
  </w:num>
  <w:num w:numId="15">
    <w:abstractNumId w:val="9"/>
  </w:num>
  <w:num w:numId="16">
    <w:abstractNumId w:val="34"/>
  </w:num>
  <w:num w:numId="17">
    <w:abstractNumId w:val="5"/>
  </w:num>
  <w:num w:numId="18">
    <w:abstractNumId w:val="10"/>
  </w:num>
  <w:num w:numId="19">
    <w:abstractNumId w:val="15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28"/>
  </w:num>
  <w:num w:numId="25">
    <w:abstractNumId w:val="4"/>
  </w:num>
  <w:num w:numId="26">
    <w:abstractNumId w:val="29"/>
  </w:num>
  <w:num w:numId="27">
    <w:abstractNumId w:val="13"/>
  </w:num>
  <w:num w:numId="28">
    <w:abstractNumId w:val="30"/>
  </w:num>
  <w:num w:numId="29">
    <w:abstractNumId w:val="0"/>
  </w:num>
  <w:num w:numId="30">
    <w:abstractNumId w:val="14"/>
  </w:num>
  <w:num w:numId="31">
    <w:abstractNumId w:val="17"/>
  </w:num>
  <w:num w:numId="32">
    <w:abstractNumId w:val="21"/>
  </w:num>
  <w:num w:numId="33">
    <w:abstractNumId w:val="25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B4"/>
    <w:rsid w:val="00011701"/>
    <w:rsid w:val="0001221B"/>
    <w:rsid w:val="00015EBC"/>
    <w:rsid w:val="00023425"/>
    <w:rsid w:val="00030CB7"/>
    <w:rsid w:val="00032569"/>
    <w:rsid w:val="000638DB"/>
    <w:rsid w:val="00064E51"/>
    <w:rsid w:val="0007338B"/>
    <w:rsid w:val="00076898"/>
    <w:rsid w:val="00080F59"/>
    <w:rsid w:val="00087852"/>
    <w:rsid w:val="00094E6C"/>
    <w:rsid w:val="000B0F48"/>
    <w:rsid w:val="000B286B"/>
    <w:rsid w:val="000B4EE4"/>
    <w:rsid w:val="000B5942"/>
    <w:rsid w:val="000C1F3B"/>
    <w:rsid w:val="000C75FF"/>
    <w:rsid w:val="000D13B8"/>
    <w:rsid w:val="000D66A8"/>
    <w:rsid w:val="000D7BC5"/>
    <w:rsid w:val="000E12CA"/>
    <w:rsid w:val="000E5F68"/>
    <w:rsid w:val="000E6543"/>
    <w:rsid w:val="000E6E79"/>
    <w:rsid w:val="000E6F29"/>
    <w:rsid w:val="00101A93"/>
    <w:rsid w:val="00101C0E"/>
    <w:rsid w:val="00103939"/>
    <w:rsid w:val="00114CD2"/>
    <w:rsid w:val="00165667"/>
    <w:rsid w:val="001677A9"/>
    <w:rsid w:val="00172AFC"/>
    <w:rsid w:val="001753E4"/>
    <w:rsid w:val="00177330"/>
    <w:rsid w:val="001806DF"/>
    <w:rsid w:val="001829BD"/>
    <w:rsid w:val="001A4824"/>
    <w:rsid w:val="001A7365"/>
    <w:rsid w:val="001B3AEA"/>
    <w:rsid w:val="001C64BC"/>
    <w:rsid w:val="001C6B51"/>
    <w:rsid w:val="001C744E"/>
    <w:rsid w:val="001D7F7B"/>
    <w:rsid w:val="001F5D33"/>
    <w:rsid w:val="00201A1C"/>
    <w:rsid w:val="0021063F"/>
    <w:rsid w:val="0021320E"/>
    <w:rsid w:val="0022132E"/>
    <w:rsid w:val="00240042"/>
    <w:rsid w:val="002838BF"/>
    <w:rsid w:val="002B1C2F"/>
    <w:rsid w:val="002C01A7"/>
    <w:rsid w:val="002C42EA"/>
    <w:rsid w:val="002C7615"/>
    <w:rsid w:val="002D12E7"/>
    <w:rsid w:val="002D6CEA"/>
    <w:rsid w:val="002F1EC1"/>
    <w:rsid w:val="002F4DD8"/>
    <w:rsid w:val="003277C5"/>
    <w:rsid w:val="00330891"/>
    <w:rsid w:val="00333D6F"/>
    <w:rsid w:val="00336C78"/>
    <w:rsid w:val="0034148F"/>
    <w:rsid w:val="00345307"/>
    <w:rsid w:val="00345B99"/>
    <w:rsid w:val="003520AF"/>
    <w:rsid w:val="0036628D"/>
    <w:rsid w:val="003721FB"/>
    <w:rsid w:val="00384B47"/>
    <w:rsid w:val="00384D95"/>
    <w:rsid w:val="00390CFE"/>
    <w:rsid w:val="003A0C29"/>
    <w:rsid w:val="003A6227"/>
    <w:rsid w:val="003B4910"/>
    <w:rsid w:val="003C5771"/>
    <w:rsid w:val="003D0F60"/>
    <w:rsid w:val="003D7937"/>
    <w:rsid w:val="003E52BD"/>
    <w:rsid w:val="004036D7"/>
    <w:rsid w:val="00431AA3"/>
    <w:rsid w:val="00433341"/>
    <w:rsid w:val="00437C23"/>
    <w:rsid w:val="0044712A"/>
    <w:rsid w:val="00465496"/>
    <w:rsid w:val="00465AF2"/>
    <w:rsid w:val="0047448A"/>
    <w:rsid w:val="00475610"/>
    <w:rsid w:val="004836D9"/>
    <w:rsid w:val="004909FB"/>
    <w:rsid w:val="00497512"/>
    <w:rsid w:val="004C050B"/>
    <w:rsid w:val="004C510E"/>
    <w:rsid w:val="004D736E"/>
    <w:rsid w:val="004D74C6"/>
    <w:rsid w:val="004E42AC"/>
    <w:rsid w:val="004E7775"/>
    <w:rsid w:val="004F3957"/>
    <w:rsid w:val="004F69EA"/>
    <w:rsid w:val="005076C3"/>
    <w:rsid w:val="00511A6C"/>
    <w:rsid w:val="0052155B"/>
    <w:rsid w:val="00521849"/>
    <w:rsid w:val="00523E35"/>
    <w:rsid w:val="00525DB3"/>
    <w:rsid w:val="00532995"/>
    <w:rsid w:val="00534F5A"/>
    <w:rsid w:val="00540EF2"/>
    <w:rsid w:val="005732E4"/>
    <w:rsid w:val="005877BF"/>
    <w:rsid w:val="00590E15"/>
    <w:rsid w:val="005A20E3"/>
    <w:rsid w:val="005B12DD"/>
    <w:rsid w:val="005B232E"/>
    <w:rsid w:val="005C38EE"/>
    <w:rsid w:val="005D2F4C"/>
    <w:rsid w:val="00612D8C"/>
    <w:rsid w:val="00645D93"/>
    <w:rsid w:val="0065614E"/>
    <w:rsid w:val="006725FC"/>
    <w:rsid w:val="0067562F"/>
    <w:rsid w:val="006B34E6"/>
    <w:rsid w:val="006D3D5B"/>
    <w:rsid w:val="006F4C1E"/>
    <w:rsid w:val="00710E12"/>
    <w:rsid w:val="00727D10"/>
    <w:rsid w:val="00733112"/>
    <w:rsid w:val="007339B2"/>
    <w:rsid w:val="00753062"/>
    <w:rsid w:val="00755D03"/>
    <w:rsid w:val="00756D00"/>
    <w:rsid w:val="007771B9"/>
    <w:rsid w:val="00782984"/>
    <w:rsid w:val="00796A8E"/>
    <w:rsid w:val="007A6048"/>
    <w:rsid w:val="007A7354"/>
    <w:rsid w:val="007B2251"/>
    <w:rsid w:val="007C1A08"/>
    <w:rsid w:val="007C4BE4"/>
    <w:rsid w:val="007C60EF"/>
    <w:rsid w:val="007E7F80"/>
    <w:rsid w:val="00811C21"/>
    <w:rsid w:val="008133B2"/>
    <w:rsid w:val="00822300"/>
    <w:rsid w:val="00844565"/>
    <w:rsid w:val="00855321"/>
    <w:rsid w:val="00866350"/>
    <w:rsid w:val="0087108C"/>
    <w:rsid w:val="00872B0B"/>
    <w:rsid w:val="008C7745"/>
    <w:rsid w:val="008D1BDA"/>
    <w:rsid w:val="008D4D5B"/>
    <w:rsid w:val="008D67EB"/>
    <w:rsid w:val="008F4B69"/>
    <w:rsid w:val="008F7E4E"/>
    <w:rsid w:val="00903F2D"/>
    <w:rsid w:val="00907389"/>
    <w:rsid w:val="009174AD"/>
    <w:rsid w:val="00925EF6"/>
    <w:rsid w:val="00936520"/>
    <w:rsid w:val="00940A33"/>
    <w:rsid w:val="00943F2E"/>
    <w:rsid w:val="009535BC"/>
    <w:rsid w:val="00965078"/>
    <w:rsid w:val="00986810"/>
    <w:rsid w:val="009C2A98"/>
    <w:rsid w:val="009F053B"/>
    <w:rsid w:val="00A01472"/>
    <w:rsid w:val="00A01AA0"/>
    <w:rsid w:val="00A13745"/>
    <w:rsid w:val="00A14AB9"/>
    <w:rsid w:val="00A15A39"/>
    <w:rsid w:val="00A230A7"/>
    <w:rsid w:val="00A3482D"/>
    <w:rsid w:val="00A35C62"/>
    <w:rsid w:val="00A63B3C"/>
    <w:rsid w:val="00A66786"/>
    <w:rsid w:val="00A66958"/>
    <w:rsid w:val="00A73E42"/>
    <w:rsid w:val="00A777AC"/>
    <w:rsid w:val="00A81E1A"/>
    <w:rsid w:val="00A97889"/>
    <w:rsid w:val="00AA4B02"/>
    <w:rsid w:val="00AC763F"/>
    <w:rsid w:val="00AE4CF1"/>
    <w:rsid w:val="00AF1951"/>
    <w:rsid w:val="00AF1BBC"/>
    <w:rsid w:val="00AF56DA"/>
    <w:rsid w:val="00AF7951"/>
    <w:rsid w:val="00AF7BE6"/>
    <w:rsid w:val="00B00F20"/>
    <w:rsid w:val="00B030AD"/>
    <w:rsid w:val="00B04AD0"/>
    <w:rsid w:val="00B107C1"/>
    <w:rsid w:val="00B118FD"/>
    <w:rsid w:val="00B14FB6"/>
    <w:rsid w:val="00B54CA6"/>
    <w:rsid w:val="00B574F1"/>
    <w:rsid w:val="00B773D7"/>
    <w:rsid w:val="00B947DD"/>
    <w:rsid w:val="00BA12BE"/>
    <w:rsid w:val="00BA175E"/>
    <w:rsid w:val="00BA6226"/>
    <w:rsid w:val="00BB7757"/>
    <w:rsid w:val="00BC22AB"/>
    <w:rsid w:val="00BC44EF"/>
    <w:rsid w:val="00BC7AB3"/>
    <w:rsid w:val="00BE24BC"/>
    <w:rsid w:val="00BF6106"/>
    <w:rsid w:val="00C16DC3"/>
    <w:rsid w:val="00C20FD7"/>
    <w:rsid w:val="00C30E3E"/>
    <w:rsid w:val="00C317CF"/>
    <w:rsid w:val="00C3602E"/>
    <w:rsid w:val="00C412B4"/>
    <w:rsid w:val="00C50B5E"/>
    <w:rsid w:val="00C5679A"/>
    <w:rsid w:val="00C64A07"/>
    <w:rsid w:val="00C84F76"/>
    <w:rsid w:val="00C8685A"/>
    <w:rsid w:val="00C921DD"/>
    <w:rsid w:val="00CB166D"/>
    <w:rsid w:val="00CB4E10"/>
    <w:rsid w:val="00CC49FB"/>
    <w:rsid w:val="00CC4B6E"/>
    <w:rsid w:val="00CE58D3"/>
    <w:rsid w:val="00CE743F"/>
    <w:rsid w:val="00CE7539"/>
    <w:rsid w:val="00CF5B77"/>
    <w:rsid w:val="00D020B9"/>
    <w:rsid w:val="00D02B60"/>
    <w:rsid w:val="00D0373D"/>
    <w:rsid w:val="00D10357"/>
    <w:rsid w:val="00D111D2"/>
    <w:rsid w:val="00D202D4"/>
    <w:rsid w:val="00D27144"/>
    <w:rsid w:val="00D324C0"/>
    <w:rsid w:val="00D356EB"/>
    <w:rsid w:val="00D559DC"/>
    <w:rsid w:val="00D61EDC"/>
    <w:rsid w:val="00D67EBA"/>
    <w:rsid w:val="00D76B6F"/>
    <w:rsid w:val="00D86FAC"/>
    <w:rsid w:val="00D91267"/>
    <w:rsid w:val="00DA5439"/>
    <w:rsid w:val="00DC0611"/>
    <w:rsid w:val="00DC6623"/>
    <w:rsid w:val="00DD47AA"/>
    <w:rsid w:val="00DE7F7C"/>
    <w:rsid w:val="00DF302E"/>
    <w:rsid w:val="00DF5811"/>
    <w:rsid w:val="00E01938"/>
    <w:rsid w:val="00E207DD"/>
    <w:rsid w:val="00E50D4F"/>
    <w:rsid w:val="00E50F03"/>
    <w:rsid w:val="00E77A73"/>
    <w:rsid w:val="00E85353"/>
    <w:rsid w:val="00E908C7"/>
    <w:rsid w:val="00EA5E57"/>
    <w:rsid w:val="00EA65EE"/>
    <w:rsid w:val="00EB2A4D"/>
    <w:rsid w:val="00EB3349"/>
    <w:rsid w:val="00ED45B4"/>
    <w:rsid w:val="00EE529D"/>
    <w:rsid w:val="00EF2EB6"/>
    <w:rsid w:val="00F00F81"/>
    <w:rsid w:val="00F065B2"/>
    <w:rsid w:val="00F450A5"/>
    <w:rsid w:val="00F5164A"/>
    <w:rsid w:val="00F55CAE"/>
    <w:rsid w:val="00F62069"/>
    <w:rsid w:val="00F65712"/>
    <w:rsid w:val="00F76FD8"/>
    <w:rsid w:val="00F80C66"/>
    <w:rsid w:val="00F8273B"/>
    <w:rsid w:val="00F91961"/>
    <w:rsid w:val="00FA1395"/>
    <w:rsid w:val="00FB7510"/>
    <w:rsid w:val="00FC06D5"/>
    <w:rsid w:val="00FC48F5"/>
    <w:rsid w:val="00FD37AB"/>
    <w:rsid w:val="00FD3AB6"/>
    <w:rsid w:val="00FD4335"/>
    <w:rsid w:val="00FE7D6A"/>
    <w:rsid w:val="00FF3558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6AB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AE"/>
    <w:pPr>
      <w:ind w:left="720"/>
      <w:contextualSpacing/>
    </w:pPr>
  </w:style>
  <w:style w:type="paragraph" w:customStyle="1" w:styleId="default">
    <w:name w:val="default"/>
    <w:basedOn w:val="Normal"/>
    <w:rsid w:val="005732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E4"/>
  </w:style>
  <w:style w:type="paragraph" w:styleId="Footer">
    <w:name w:val="footer"/>
    <w:basedOn w:val="Normal"/>
    <w:link w:val="FooterChar"/>
    <w:uiPriority w:val="99"/>
    <w:unhideWhenUsed/>
    <w:rsid w:val="0057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E4"/>
  </w:style>
  <w:style w:type="character" w:styleId="Hyperlink">
    <w:name w:val="Hyperlink"/>
    <w:basedOn w:val="DefaultParagraphFont"/>
    <w:uiPriority w:val="99"/>
    <w:unhideWhenUsed/>
    <w:rsid w:val="000117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701"/>
    <w:rPr>
      <w:color w:val="808080"/>
      <w:shd w:val="clear" w:color="auto" w:fill="E6E6E6"/>
    </w:rPr>
  </w:style>
  <w:style w:type="paragraph" w:customStyle="1" w:styleId="NICEnormal">
    <w:name w:val="NICE normal"/>
    <w:link w:val="NICEnormalChar"/>
    <w:qFormat/>
    <w:rsid w:val="00101A93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101A9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1AA3"/>
    <w:rPr>
      <w:color w:val="954F72" w:themeColor="followedHyperlink"/>
      <w:u w:val="single"/>
    </w:rPr>
  </w:style>
  <w:style w:type="paragraph" w:customStyle="1" w:styleId="Default0">
    <w:name w:val="Default"/>
    <w:rsid w:val="00EA6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5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AE"/>
    <w:pPr>
      <w:ind w:left="720"/>
      <w:contextualSpacing/>
    </w:pPr>
  </w:style>
  <w:style w:type="paragraph" w:customStyle="1" w:styleId="default">
    <w:name w:val="default"/>
    <w:basedOn w:val="Normal"/>
    <w:rsid w:val="005732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E4"/>
  </w:style>
  <w:style w:type="paragraph" w:styleId="Footer">
    <w:name w:val="footer"/>
    <w:basedOn w:val="Normal"/>
    <w:link w:val="FooterChar"/>
    <w:uiPriority w:val="99"/>
    <w:unhideWhenUsed/>
    <w:rsid w:val="0057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E4"/>
  </w:style>
  <w:style w:type="character" w:styleId="Hyperlink">
    <w:name w:val="Hyperlink"/>
    <w:basedOn w:val="DefaultParagraphFont"/>
    <w:uiPriority w:val="99"/>
    <w:unhideWhenUsed/>
    <w:rsid w:val="000117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701"/>
    <w:rPr>
      <w:color w:val="808080"/>
      <w:shd w:val="clear" w:color="auto" w:fill="E6E6E6"/>
    </w:rPr>
  </w:style>
  <w:style w:type="paragraph" w:customStyle="1" w:styleId="NICEnormal">
    <w:name w:val="NICE normal"/>
    <w:link w:val="NICEnormalChar"/>
    <w:qFormat/>
    <w:rsid w:val="00101A93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101A9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1AA3"/>
    <w:rPr>
      <w:color w:val="954F72" w:themeColor="followedHyperlink"/>
      <w:u w:val="single"/>
    </w:rPr>
  </w:style>
  <w:style w:type="paragraph" w:customStyle="1" w:styleId="Default0">
    <w:name w:val="Default"/>
    <w:rsid w:val="00EA6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5466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063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457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oh-tr.foi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8" ma:contentTypeDescription="Create a new document." ma:contentTypeScope="" ma:versionID="7fa4a9b26154d4d35248c9c9ef52afd4">
  <xsd:schema xmlns:xsd="http://www.w3.org/2001/XMLSchema" xmlns:xs="http://www.w3.org/2001/XMLSchema" xmlns:p="http://schemas.microsoft.com/office/2006/metadata/properties" xmlns:ns2="78d81d28-16f2-4b68-a26f-ae05642c550a" targetNamespace="http://schemas.microsoft.com/office/2006/metadata/properties" ma:root="true" ma:fieldsID="fa1450facdbee69f33e21a66c58ffd49" ns2:_="">
    <xsd:import namespace="78d81d28-16f2-4b68-a26f-ae05642c5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78DA-35FB-4D73-94EA-8C9448FC3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1B611-48C0-4728-BF5C-C60F47613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97CCAF-FB0C-4D58-8A18-25E373BC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2EF8E-8139-45F1-98A0-29859594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2019-06-06T09:16:00Z</dcterms:created>
  <dcterms:modified xsi:type="dcterms:W3CDTF">2019-06-10T09:27:00Z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