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963599" w:rsidRPr="002D1825" w:rsidTr="004A2131">
        <w:trPr>
          <w:trHeight w:val="1833"/>
        </w:trPr>
        <w:tc>
          <w:tcPr>
            <w:tcW w:w="10774" w:type="dxa"/>
          </w:tcPr>
          <w:p w:rsidR="00963599" w:rsidRPr="002D1825" w:rsidRDefault="00963599" w:rsidP="00963599">
            <w:pPr>
              <w:jc w:val="right"/>
              <w:rPr>
                <w:rFonts w:ascii="Calibri" w:hAnsi="Calibri" w:cs="Calibri"/>
                <w:b/>
                <w:sz w:val="24"/>
              </w:rPr>
            </w:pPr>
            <w:r w:rsidRPr="002D1825">
              <w:rPr>
                <w:rFonts w:ascii="Calibri" w:hAnsi="Calibri" w:cs="Calibri"/>
                <w:b/>
                <w:sz w:val="24"/>
              </w:rPr>
              <w:t>NHS Halton Clinical Commissioning Group</w:t>
            </w:r>
          </w:p>
          <w:p w:rsidR="00963599" w:rsidRPr="002D1825" w:rsidRDefault="00963599" w:rsidP="00963599">
            <w:pPr>
              <w:jc w:val="right"/>
              <w:rPr>
                <w:rFonts w:ascii="Calibri" w:hAnsi="Calibri" w:cs="Calibri"/>
                <w:b/>
                <w:sz w:val="24"/>
              </w:rPr>
            </w:pPr>
            <w:r w:rsidRPr="002D1825">
              <w:rPr>
                <w:rFonts w:ascii="Calibri" w:hAnsi="Calibri" w:cs="Calibri"/>
                <w:b/>
                <w:sz w:val="24"/>
              </w:rPr>
              <w:t>NHS Liverpool Clinical Commissioning Group</w:t>
            </w:r>
          </w:p>
          <w:p w:rsidR="00963599" w:rsidRPr="002D1825" w:rsidRDefault="00963599" w:rsidP="00963599">
            <w:pPr>
              <w:jc w:val="right"/>
              <w:rPr>
                <w:rFonts w:ascii="Calibri" w:hAnsi="Calibri" w:cs="Calibri"/>
                <w:b/>
                <w:sz w:val="24"/>
              </w:rPr>
            </w:pPr>
            <w:r w:rsidRPr="002D1825">
              <w:rPr>
                <w:rFonts w:ascii="Calibri" w:hAnsi="Calibri" w:cs="Calibri"/>
                <w:b/>
                <w:sz w:val="24"/>
              </w:rPr>
              <w:t>NHS St Helens Clinical Commissioning Group</w:t>
            </w:r>
          </w:p>
          <w:p w:rsidR="00963599" w:rsidRPr="002D1825" w:rsidRDefault="00963599" w:rsidP="00963599">
            <w:pPr>
              <w:jc w:val="right"/>
              <w:rPr>
                <w:rFonts w:ascii="Calibri" w:hAnsi="Calibri" w:cs="Calibri"/>
                <w:b/>
                <w:sz w:val="24"/>
              </w:rPr>
            </w:pPr>
            <w:r w:rsidRPr="002D1825">
              <w:rPr>
                <w:rFonts w:ascii="Calibri" w:hAnsi="Calibri" w:cs="Calibri"/>
                <w:b/>
                <w:sz w:val="24"/>
              </w:rPr>
              <w:t>NHS South Sefton Clinical Commissioning Group</w:t>
            </w:r>
          </w:p>
          <w:p w:rsidR="00963599" w:rsidRPr="002D1825" w:rsidRDefault="00963599" w:rsidP="00963599">
            <w:pPr>
              <w:jc w:val="right"/>
              <w:rPr>
                <w:rFonts w:ascii="Calibri" w:hAnsi="Calibri" w:cs="Calibri"/>
                <w:b/>
                <w:sz w:val="24"/>
              </w:rPr>
            </w:pPr>
            <w:r w:rsidRPr="002D1825">
              <w:rPr>
                <w:rFonts w:ascii="Calibri" w:hAnsi="Calibri" w:cs="Calibri"/>
                <w:b/>
                <w:sz w:val="24"/>
              </w:rPr>
              <w:t>NHS Southport and Formby Clinical Commissioning Group</w:t>
            </w:r>
          </w:p>
          <w:p w:rsidR="001F312A" w:rsidRPr="002D1825" w:rsidRDefault="001F312A" w:rsidP="00963599">
            <w:pPr>
              <w:jc w:val="right"/>
              <w:rPr>
                <w:rFonts w:ascii="Calibri" w:hAnsi="Calibri" w:cs="Calibri"/>
                <w:b/>
                <w:sz w:val="24"/>
              </w:rPr>
            </w:pPr>
            <w:r w:rsidRPr="002D1825">
              <w:rPr>
                <w:rFonts w:ascii="Calibri" w:hAnsi="Calibri" w:cs="Calibri"/>
                <w:b/>
                <w:sz w:val="24"/>
              </w:rPr>
              <w:t>NHS Warrington Clinical Commissioning Group</w:t>
            </w:r>
          </w:p>
        </w:tc>
      </w:tr>
      <w:tr w:rsidR="00963599" w:rsidRPr="002D1825" w:rsidTr="004A2131">
        <w:tc>
          <w:tcPr>
            <w:tcW w:w="10774" w:type="dxa"/>
          </w:tcPr>
          <w:p w:rsidR="00963599" w:rsidRPr="002D1825" w:rsidRDefault="00963599" w:rsidP="001713B7">
            <w:pPr>
              <w:rPr>
                <w:rFonts w:ascii="Calibri" w:hAnsi="Calibri" w:cs="Calibri"/>
              </w:rPr>
            </w:pPr>
          </w:p>
          <w:p w:rsidR="00963599" w:rsidRPr="002D1825" w:rsidRDefault="00C05750" w:rsidP="002E06A4">
            <w:pPr>
              <w:jc w:val="center"/>
              <w:rPr>
                <w:rFonts w:ascii="Calibri" w:hAnsi="Calibri" w:cs="Calibri"/>
              </w:rPr>
            </w:pPr>
            <w:r w:rsidRPr="002D1825">
              <w:rPr>
                <w:rFonts w:ascii="Calibri" w:hAnsi="Calibri" w:cs="Calibri"/>
                <w:b/>
                <w:sz w:val="44"/>
                <w:szCs w:val="44"/>
              </w:rPr>
              <w:t>Policy</w:t>
            </w:r>
            <w:r w:rsidR="002E06A4" w:rsidRPr="002D1825">
              <w:rPr>
                <w:rFonts w:ascii="Calibri" w:hAnsi="Calibri" w:cs="Calibri"/>
                <w:b/>
                <w:sz w:val="44"/>
                <w:szCs w:val="44"/>
              </w:rPr>
              <w:t xml:space="preserve"> for </w:t>
            </w:r>
            <w:r w:rsidR="00361660" w:rsidRPr="002D1825">
              <w:rPr>
                <w:rFonts w:ascii="Calibri" w:hAnsi="Calibri" w:cs="Calibri"/>
                <w:b/>
                <w:sz w:val="44"/>
                <w:szCs w:val="44"/>
              </w:rPr>
              <w:t>Botulinum Toxin A &amp; B</w:t>
            </w:r>
          </w:p>
        </w:tc>
      </w:tr>
      <w:tr w:rsidR="00963599" w:rsidRPr="00BD71AF" w:rsidTr="004A2131">
        <w:tc>
          <w:tcPr>
            <w:tcW w:w="10774" w:type="dxa"/>
          </w:tcPr>
          <w:p w:rsidR="00963599" w:rsidRPr="00BD71AF" w:rsidRDefault="00963599" w:rsidP="001713B7">
            <w:pPr>
              <w:rPr>
                <w:rFonts w:ascii="Calibri" w:hAnsi="Calibri" w:cs="Calibri"/>
                <w:sz w:val="24"/>
                <w:szCs w:val="24"/>
              </w:rPr>
            </w:pPr>
          </w:p>
          <w:p w:rsidR="00941D2D" w:rsidRPr="00BD71AF" w:rsidRDefault="00941D2D" w:rsidP="00941D2D">
            <w:pPr>
              <w:spacing w:after="200" w:line="276" w:lineRule="auto"/>
              <w:rPr>
                <w:rFonts w:ascii="Calibri" w:eastAsia="Arial" w:hAnsi="Calibri" w:cs="Calibri"/>
                <w:sz w:val="24"/>
                <w:szCs w:val="24"/>
              </w:rPr>
            </w:pPr>
            <w:r w:rsidRPr="00BD71AF">
              <w:rPr>
                <w:rFonts w:ascii="Calibri" w:eastAsia="Arial" w:hAnsi="Calibri" w:cs="Calibri"/>
                <w:sz w:val="24"/>
                <w:szCs w:val="24"/>
              </w:rPr>
              <w:t xml:space="preserve">Botulinum toxin is a protein produced by clostridium botulinum bacteria and related species. When injected into the body it affects the nervous system and it can be used to treat a number of disorders that cause excessive or abnormal muscle movement. These include spasticity that results from a stroke or a spinal cord injury, and spasms in the head and neck, eyelid, vagina, limbs, jaw or vocal cords. Botox can also be used to relax clenched muscles (for example, when people grind their teeth in their sleep) and to correct eye alignment (“crossed eyes”). </w:t>
            </w:r>
          </w:p>
          <w:p w:rsidR="00445646" w:rsidRPr="00BD71AF" w:rsidRDefault="00941D2D" w:rsidP="00941D2D">
            <w:pPr>
              <w:rPr>
                <w:rFonts w:ascii="Calibri" w:eastAsia="Arial" w:hAnsi="Calibri" w:cs="Calibri"/>
                <w:sz w:val="24"/>
                <w:szCs w:val="24"/>
              </w:rPr>
            </w:pPr>
            <w:r w:rsidRPr="00BD71AF">
              <w:rPr>
                <w:rFonts w:ascii="Calibri" w:eastAsia="Arial" w:hAnsi="Calibri" w:cs="Calibri"/>
                <w:sz w:val="24"/>
                <w:szCs w:val="24"/>
              </w:rPr>
              <w:t>A number of botulinum toxin type A products are commercially available (including Botox®, Dysport®, Xeomin®). Other brands are available but are only licensed for cosmetic procedures (Allergan).</w:t>
            </w:r>
          </w:p>
          <w:p w:rsidR="00941D2D" w:rsidRPr="00BD71AF" w:rsidRDefault="00941D2D" w:rsidP="00941D2D">
            <w:pPr>
              <w:rPr>
                <w:rFonts w:ascii="Calibri" w:hAnsi="Calibri" w:cs="Calibri"/>
                <w:sz w:val="24"/>
                <w:szCs w:val="24"/>
              </w:rPr>
            </w:pPr>
          </w:p>
        </w:tc>
      </w:tr>
    </w:tbl>
    <w:p w:rsidR="009B5F6E" w:rsidRPr="00BD71AF" w:rsidRDefault="009B5F6E">
      <w:pPr>
        <w:rPr>
          <w:rFonts w:ascii="Calibri" w:hAnsi="Calibri" w:cs="Calibri"/>
          <w:b/>
          <w:sz w:val="24"/>
          <w:szCs w:val="24"/>
        </w:rPr>
      </w:pPr>
      <w:r w:rsidRPr="00BD71AF">
        <w:rPr>
          <w:rFonts w:ascii="Calibri" w:hAnsi="Calibri" w:cs="Calibri"/>
          <w:b/>
          <w:sz w:val="24"/>
          <w:szCs w:val="24"/>
        </w:rPr>
        <w:t>PROPOSED REVISED CRITERIA</w:t>
      </w:r>
    </w:p>
    <w:tbl>
      <w:tblPr>
        <w:tblStyle w:val="TableGrid"/>
        <w:tblW w:w="10916" w:type="dxa"/>
        <w:tblInd w:w="-885" w:type="dxa"/>
        <w:tblLayout w:type="fixed"/>
        <w:tblLook w:val="04A0" w:firstRow="1" w:lastRow="0" w:firstColumn="1" w:lastColumn="0" w:noHBand="0" w:noVBand="1"/>
      </w:tblPr>
      <w:tblGrid>
        <w:gridCol w:w="1462"/>
        <w:gridCol w:w="9454"/>
      </w:tblGrid>
      <w:tr w:rsidR="007B2E57" w:rsidRPr="00BD71AF" w:rsidTr="007B2E57">
        <w:tc>
          <w:tcPr>
            <w:tcW w:w="1462" w:type="dxa"/>
            <w:shd w:val="clear" w:color="auto" w:fill="8DB3E2" w:themeFill="text2" w:themeFillTint="66"/>
          </w:tcPr>
          <w:p w:rsidR="00963599" w:rsidRPr="00BD71AF" w:rsidRDefault="00963599" w:rsidP="001E2729">
            <w:pPr>
              <w:tabs>
                <w:tab w:val="left" w:pos="1740"/>
              </w:tabs>
              <w:rPr>
                <w:rFonts w:ascii="Calibri" w:hAnsi="Calibri" w:cs="Calibri"/>
                <w:b/>
                <w:sz w:val="24"/>
                <w:szCs w:val="24"/>
              </w:rPr>
            </w:pPr>
            <w:r w:rsidRPr="00BD71AF">
              <w:rPr>
                <w:rFonts w:ascii="Calibri" w:hAnsi="Calibri" w:cs="Calibri"/>
                <w:b/>
                <w:sz w:val="24"/>
                <w:szCs w:val="24"/>
              </w:rPr>
              <w:t xml:space="preserve">Intervention </w:t>
            </w:r>
            <w:r w:rsidR="001E2729" w:rsidRPr="00BD71AF">
              <w:rPr>
                <w:rFonts w:ascii="Calibri" w:hAnsi="Calibri" w:cs="Calibri"/>
                <w:b/>
                <w:sz w:val="24"/>
                <w:szCs w:val="24"/>
              </w:rPr>
              <w:tab/>
            </w:r>
          </w:p>
        </w:tc>
        <w:tc>
          <w:tcPr>
            <w:tcW w:w="9454" w:type="dxa"/>
            <w:shd w:val="clear" w:color="auto" w:fill="8DB3E2" w:themeFill="text2" w:themeFillTint="66"/>
          </w:tcPr>
          <w:p w:rsidR="00963599" w:rsidRPr="00BD71AF" w:rsidRDefault="000E1DCB" w:rsidP="00E91FFE">
            <w:pPr>
              <w:keepNext/>
              <w:keepLines/>
              <w:widowControl w:val="0"/>
              <w:outlineLvl w:val="2"/>
              <w:rPr>
                <w:rFonts w:ascii="Calibri" w:hAnsi="Calibri" w:cs="Calibri"/>
                <w:b/>
                <w:sz w:val="24"/>
                <w:szCs w:val="24"/>
              </w:rPr>
            </w:pPr>
            <w:r w:rsidRPr="00BD71AF">
              <w:rPr>
                <w:rFonts w:ascii="Calibri" w:hAnsi="Calibri" w:cs="Calibri"/>
                <w:b/>
                <w:sz w:val="24"/>
                <w:szCs w:val="24"/>
              </w:rPr>
              <w:t>Name of policy</w:t>
            </w:r>
          </w:p>
        </w:tc>
      </w:tr>
      <w:tr w:rsidR="007B2E57" w:rsidRPr="00BD71AF" w:rsidTr="007B2E57">
        <w:trPr>
          <w:trHeight w:val="408"/>
        </w:trPr>
        <w:tc>
          <w:tcPr>
            <w:tcW w:w="1462" w:type="dxa"/>
          </w:tcPr>
          <w:p w:rsidR="00672454" w:rsidRPr="00BD71AF" w:rsidRDefault="00F44BEA" w:rsidP="00B16B78">
            <w:pPr>
              <w:rPr>
                <w:rFonts w:ascii="Calibri" w:hAnsi="Calibri" w:cs="Calibri"/>
                <w:b/>
                <w:sz w:val="24"/>
                <w:szCs w:val="24"/>
              </w:rPr>
            </w:pPr>
            <w:r w:rsidRPr="00BD71AF">
              <w:rPr>
                <w:rFonts w:ascii="Calibri" w:hAnsi="Calibri" w:cs="Calibri"/>
                <w:b/>
                <w:sz w:val="24"/>
                <w:szCs w:val="24"/>
              </w:rPr>
              <w:t>Policy Statement</w:t>
            </w:r>
          </w:p>
        </w:tc>
        <w:tc>
          <w:tcPr>
            <w:tcW w:w="9454" w:type="dxa"/>
          </w:tcPr>
          <w:p w:rsidR="00672454" w:rsidRPr="00BD71AF" w:rsidRDefault="00E91FFE" w:rsidP="00E91FFE">
            <w:pPr>
              <w:rPr>
                <w:rFonts w:ascii="Calibri" w:hAnsi="Calibri" w:cs="Calibri"/>
                <w:b/>
                <w:sz w:val="24"/>
                <w:szCs w:val="24"/>
              </w:rPr>
            </w:pPr>
            <w:r w:rsidRPr="00BD71AF">
              <w:rPr>
                <w:rFonts w:ascii="Calibri" w:hAnsi="Calibri" w:cs="Calibri"/>
                <w:b/>
                <w:sz w:val="24"/>
                <w:szCs w:val="24"/>
              </w:rPr>
              <w:t>Restricted</w:t>
            </w:r>
          </w:p>
        </w:tc>
      </w:tr>
      <w:tr w:rsidR="007B2E57" w:rsidRPr="00BD71AF" w:rsidTr="007B2E57">
        <w:trPr>
          <w:trHeight w:val="1509"/>
        </w:trPr>
        <w:tc>
          <w:tcPr>
            <w:tcW w:w="1462" w:type="dxa"/>
          </w:tcPr>
          <w:p w:rsidR="00963599" w:rsidRPr="00BD71AF" w:rsidRDefault="00963599" w:rsidP="001713B7">
            <w:pPr>
              <w:rPr>
                <w:rFonts w:ascii="Calibri" w:hAnsi="Calibri" w:cs="Calibri"/>
                <w:b/>
                <w:sz w:val="24"/>
                <w:szCs w:val="24"/>
              </w:rPr>
            </w:pPr>
            <w:r w:rsidRPr="00BD71AF">
              <w:rPr>
                <w:rFonts w:ascii="Calibri" w:hAnsi="Calibri" w:cs="Calibri"/>
                <w:b/>
                <w:sz w:val="24"/>
                <w:szCs w:val="24"/>
              </w:rPr>
              <w:t>Minimum eligibility criteria</w:t>
            </w:r>
          </w:p>
        </w:tc>
        <w:tc>
          <w:tcPr>
            <w:tcW w:w="9454" w:type="dxa"/>
          </w:tcPr>
          <w:p w:rsidR="00DC1168" w:rsidRPr="00BD71AF" w:rsidRDefault="00DC1168" w:rsidP="00DC1168">
            <w:pPr>
              <w:rPr>
                <w:rFonts w:ascii="Calibri" w:hAnsi="Calibri" w:cs="Calibri"/>
                <w:b/>
                <w:sz w:val="24"/>
                <w:szCs w:val="24"/>
                <w:u w:val="single"/>
              </w:rPr>
            </w:pPr>
            <w:r w:rsidRPr="00BD71AF">
              <w:rPr>
                <w:rFonts w:ascii="Calibri" w:hAnsi="Calibri" w:cs="Calibri"/>
                <w:b/>
                <w:sz w:val="24"/>
                <w:szCs w:val="24"/>
                <w:u w:val="single"/>
              </w:rPr>
              <w:t>Botulinum Type B</w:t>
            </w:r>
          </w:p>
          <w:p w:rsidR="00DC1168" w:rsidRPr="00BD71AF" w:rsidRDefault="00DC1168" w:rsidP="00DC1168">
            <w:pPr>
              <w:rPr>
                <w:rFonts w:ascii="Calibri" w:hAnsi="Calibri" w:cs="Calibri"/>
                <w:sz w:val="24"/>
                <w:szCs w:val="24"/>
              </w:rPr>
            </w:pPr>
            <w:r w:rsidRPr="00BD71AF">
              <w:rPr>
                <w:rFonts w:ascii="Calibri" w:hAnsi="Calibri" w:cs="Calibri"/>
                <w:sz w:val="24"/>
                <w:szCs w:val="24"/>
              </w:rPr>
              <w:t>The use of Botulinum toxin type B is not routinely commissioned.</w:t>
            </w:r>
          </w:p>
          <w:p w:rsidR="00BB417D" w:rsidRPr="00BD71AF" w:rsidRDefault="00BB417D" w:rsidP="00DC1168">
            <w:pPr>
              <w:rPr>
                <w:rFonts w:ascii="Calibri" w:hAnsi="Calibri" w:cs="Calibri"/>
                <w:sz w:val="24"/>
                <w:szCs w:val="24"/>
              </w:rPr>
            </w:pPr>
          </w:p>
          <w:p w:rsidR="00DC1168" w:rsidRPr="00BD71AF" w:rsidRDefault="00DC1168" w:rsidP="00DC1168">
            <w:pPr>
              <w:rPr>
                <w:rFonts w:ascii="Calibri" w:hAnsi="Calibri" w:cs="Calibri"/>
                <w:b/>
                <w:sz w:val="24"/>
                <w:szCs w:val="24"/>
                <w:u w:val="single"/>
              </w:rPr>
            </w:pPr>
            <w:r w:rsidRPr="00BD71AF">
              <w:rPr>
                <w:rFonts w:ascii="Calibri" w:hAnsi="Calibri" w:cs="Calibri"/>
                <w:b/>
                <w:sz w:val="24"/>
                <w:szCs w:val="24"/>
                <w:u w:val="single"/>
              </w:rPr>
              <w:t>Botulinum Type A</w:t>
            </w:r>
          </w:p>
          <w:p w:rsidR="00DC1168" w:rsidRPr="00BD71AF" w:rsidRDefault="00DC1168" w:rsidP="00DC1168">
            <w:pPr>
              <w:rPr>
                <w:rFonts w:ascii="Calibri" w:hAnsi="Calibri" w:cs="Calibri"/>
                <w:b/>
                <w:sz w:val="24"/>
                <w:szCs w:val="24"/>
                <w:u w:val="single"/>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Botulinum toxin type A is not routinely commissioned in the following indications: </w:t>
            </w:r>
          </w:p>
          <w:p w:rsidR="00DC1168" w:rsidRPr="00BD71AF" w:rsidRDefault="00DC1168" w:rsidP="00DC1168">
            <w:pPr>
              <w:numPr>
                <w:ilvl w:val="0"/>
                <w:numId w:val="12"/>
              </w:numPr>
              <w:rPr>
                <w:rFonts w:ascii="Calibri" w:hAnsi="Calibri" w:cs="Calibri"/>
                <w:sz w:val="24"/>
                <w:szCs w:val="24"/>
              </w:rPr>
            </w:pPr>
            <w:r w:rsidRPr="00BD71AF">
              <w:rPr>
                <w:rFonts w:ascii="Calibri" w:hAnsi="Calibri" w:cs="Calibri"/>
                <w:sz w:val="24"/>
                <w:szCs w:val="24"/>
              </w:rPr>
              <w:t xml:space="preserve">Canthal lines (crow’s feet) and glabellar (frown) lines. </w:t>
            </w:r>
          </w:p>
          <w:p w:rsidR="00DC1168" w:rsidRPr="00BD71AF" w:rsidRDefault="00DC1168" w:rsidP="00DC1168">
            <w:pPr>
              <w:numPr>
                <w:ilvl w:val="0"/>
                <w:numId w:val="12"/>
              </w:numPr>
              <w:rPr>
                <w:rFonts w:ascii="Calibri" w:hAnsi="Calibri" w:cs="Calibri"/>
                <w:sz w:val="24"/>
                <w:szCs w:val="24"/>
              </w:rPr>
            </w:pPr>
            <w:r w:rsidRPr="00BD71AF">
              <w:rPr>
                <w:rFonts w:ascii="Calibri" w:hAnsi="Calibri" w:cs="Calibri"/>
                <w:sz w:val="24"/>
                <w:szCs w:val="24"/>
              </w:rPr>
              <w:t xml:space="preserve">Any other indication that is not listed below. </w:t>
            </w:r>
          </w:p>
          <w:p w:rsidR="00DC1168" w:rsidRPr="00BD71AF" w:rsidRDefault="00DC1168" w:rsidP="00DC1168">
            <w:pPr>
              <w:rPr>
                <w:rFonts w:ascii="Calibri" w:hAnsi="Calibri" w:cs="Calibri"/>
                <w:b/>
                <w:sz w:val="24"/>
                <w:szCs w:val="24"/>
                <w:u w:val="single"/>
              </w:rPr>
            </w:pPr>
          </w:p>
          <w:p w:rsidR="00BB417D" w:rsidRDefault="00DC1168" w:rsidP="00DC1168">
            <w:pPr>
              <w:rPr>
                <w:rFonts w:ascii="Calibri" w:hAnsi="Calibri" w:cs="Calibri"/>
                <w:sz w:val="24"/>
                <w:szCs w:val="24"/>
              </w:rPr>
            </w:pPr>
            <w:r w:rsidRPr="00BD71AF">
              <w:rPr>
                <w:rFonts w:ascii="Calibri" w:hAnsi="Calibri" w:cs="Calibri"/>
                <w:sz w:val="24"/>
                <w:szCs w:val="24"/>
              </w:rPr>
              <w:t>The use of Botulinum type A is commissioned for the following indications and provided the eligibility criteria are met:</w:t>
            </w:r>
          </w:p>
          <w:p w:rsidR="00BB417D" w:rsidRPr="00BD71AF" w:rsidRDefault="00BB417D" w:rsidP="00DC1168">
            <w:pPr>
              <w:rPr>
                <w:rFonts w:ascii="Calibri" w:hAnsi="Calibri" w:cs="Calibri"/>
                <w:sz w:val="24"/>
                <w:szCs w:val="24"/>
              </w:rPr>
            </w:pPr>
          </w:p>
          <w:p w:rsidR="00DC1168" w:rsidRPr="00977BAA" w:rsidRDefault="00DC1168" w:rsidP="00DC1168">
            <w:pPr>
              <w:rPr>
                <w:rFonts w:ascii="Calibri" w:hAnsi="Calibri" w:cs="Calibri"/>
                <w:b/>
                <w:sz w:val="24"/>
                <w:szCs w:val="24"/>
                <w:u w:val="single"/>
              </w:rPr>
            </w:pPr>
            <w:r w:rsidRPr="00BD71AF">
              <w:rPr>
                <w:rFonts w:ascii="Calibri" w:hAnsi="Calibri" w:cs="Calibri"/>
                <w:b/>
                <w:sz w:val="24"/>
                <w:szCs w:val="24"/>
                <w:u w:val="single"/>
              </w:rPr>
              <w:t>Anal fissures</w:t>
            </w:r>
          </w:p>
          <w:p w:rsidR="00483306" w:rsidRPr="005F29BF" w:rsidRDefault="00483306" w:rsidP="00483306">
            <w:pPr>
              <w:pStyle w:val="ListParagraph"/>
              <w:numPr>
                <w:ilvl w:val="0"/>
                <w:numId w:val="15"/>
              </w:numPr>
              <w:rPr>
                <w:rFonts w:cstheme="minorHAnsi"/>
                <w:i/>
                <w:sz w:val="24"/>
                <w:szCs w:val="24"/>
              </w:rPr>
            </w:pPr>
            <w:r w:rsidRPr="004A2131">
              <w:rPr>
                <w:rStyle w:val="QuoteChar"/>
                <w:rFonts w:cstheme="minorHAnsi"/>
                <w:i w:val="0"/>
                <w:color w:val="auto"/>
                <w:sz w:val="24"/>
                <w:szCs w:val="24"/>
              </w:rPr>
              <w:t xml:space="preserve">A maximum of two courses of Botulinum toxin type A is recommended as a treatment option in patients with chronic anal fissure </w:t>
            </w:r>
            <w:r w:rsidRPr="005F29BF">
              <w:rPr>
                <w:rStyle w:val="QuoteChar"/>
                <w:rFonts w:cstheme="minorHAnsi"/>
                <w:i w:val="0"/>
                <w:sz w:val="24"/>
                <w:szCs w:val="24"/>
              </w:rPr>
              <w:t>that has not healed despite at least 8 weeks of topical management</w:t>
            </w:r>
            <w:r w:rsidRPr="005F29BF">
              <w:rPr>
                <w:rFonts w:cstheme="minorHAnsi"/>
                <w:i/>
                <w:sz w:val="24"/>
                <w:szCs w:val="24"/>
              </w:rPr>
              <w:t>.</w:t>
            </w:r>
          </w:p>
          <w:p w:rsidR="00483306" w:rsidRPr="00BD71AF" w:rsidRDefault="00483306"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It has a similar mechanism of action to topical products. The preferred first line topical product is 0.4% glyceryl trinitrate (GTN) ointment, the only licensed non-surgical option available in the UK. Unlicensed topical 2% diltiazem cream and unlicensed topical 0.2% GTN ointment are alternatives if there has been a partial response to topical 0.4% GTN but intolerance such as headache has necessitated discontinuation.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For patients who proceed to treatment with botulinum toxin type A and whose fissure has not healed after one course of injections, alternative options for on-going management should be considered. </w:t>
            </w:r>
            <w:r w:rsidR="00C05750" w:rsidRPr="00BD71AF">
              <w:rPr>
                <w:rFonts w:ascii="Calibri" w:hAnsi="Calibri" w:cs="Calibri"/>
                <w:sz w:val="24"/>
                <w:szCs w:val="24"/>
              </w:rPr>
              <w:t>However,</w:t>
            </w:r>
            <w:r w:rsidRPr="00BD71AF">
              <w:rPr>
                <w:rFonts w:ascii="Calibri" w:hAnsi="Calibri" w:cs="Calibri"/>
                <w:sz w:val="24"/>
                <w:szCs w:val="24"/>
              </w:rPr>
              <w:t xml:space="preserve"> where the specialist determines there has been a partial response to the first course, a second course may be considered particularly for patients where surgery is less suitable.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To assist with healing prevention of recurrence of fissures, patients should be encouraged to eat a high fibre diet and use laxatives if necessary.</w:t>
            </w:r>
          </w:p>
          <w:p w:rsidR="00DC1168" w:rsidRPr="00BD71AF" w:rsidRDefault="00DC1168" w:rsidP="00DC1168">
            <w:pPr>
              <w:rPr>
                <w:rFonts w:ascii="Calibri" w:hAnsi="Calibri" w:cs="Calibri"/>
                <w:sz w:val="24"/>
                <w:szCs w:val="24"/>
              </w:rPr>
            </w:pPr>
          </w:p>
          <w:p w:rsidR="00DC1168" w:rsidRPr="00483306" w:rsidRDefault="00DC1168" w:rsidP="00DC1168">
            <w:pPr>
              <w:rPr>
                <w:rFonts w:ascii="Calibri" w:hAnsi="Calibri" w:cs="Calibri"/>
                <w:color w:val="1F497D" w:themeColor="text2"/>
                <w:sz w:val="24"/>
                <w:szCs w:val="24"/>
              </w:rPr>
            </w:pPr>
            <w:r w:rsidRPr="00BD71AF">
              <w:rPr>
                <w:rFonts w:ascii="Calibri" w:hAnsi="Calibri" w:cs="Calibri"/>
                <w:sz w:val="24"/>
                <w:szCs w:val="24"/>
              </w:rPr>
              <w:t xml:space="preserve">For the use of Botulinum toxin type A in treating Anal Fissures, refer also to the Pan Mersey Area Prescribing Committee Prescribing policy statement </w:t>
            </w:r>
            <w:r w:rsidRPr="00BD71AF">
              <w:rPr>
                <w:rFonts w:ascii="Calibri" w:hAnsi="Calibri" w:cs="Calibri"/>
                <w:b/>
                <w:bCs/>
                <w:i/>
                <w:sz w:val="24"/>
                <w:szCs w:val="24"/>
              </w:rPr>
              <w:t>BOTULINUM TOXIN Type A injection for chronic anal fissure</w:t>
            </w:r>
            <w:r w:rsidRPr="00BD71AF">
              <w:rPr>
                <w:rFonts w:ascii="Calibri" w:hAnsi="Calibri" w:cs="Calibri"/>
                <w:sz w:val="24"/>
                <w:szCs w:val="24"/>
              </w:rPr>
              <w:t xml:space="preserve">: </w:t>
            </w:r>
            <w:hyperlink r:id="rId13" w:history="1">
              <w:r w:rsidR="003F0A93" w:rsidRPr="00BD71AF">
                <w:rPr>
                  <w:rStyle w:val="Hyperlink"/>
                  <w:rFonts w:ascii="Calibri" w:hAnsi="Calibri" w:cs="Calibri"/>
                  <w:sz w:val="24"/>
                  <w:szCs w:val="24"/>
                </w:rPr>
                <w:t>https://www.panmerseyapc.nhs.uk/media/1568/botulinum_anal_201805_ps67_v0300.pdf</w:t>
              </w:r>
            </w:hyperlink>
            <w:r w:rsidR="003F0A93" w:rsidRPr="00BD71AF">
              <w:rPr>
                <w:rStyle w:val="Hyperlink"/>
                <w:rFonts w:ascii="Calibri" w:hAnsi="Calibri" w:cs="Calibri"/>
                <w:sz w:val="24"/>
                <w:szCs w:val="24"/>
              </w:rPr>
              <w:t xml:space="preserve"> </w:t>
            </w:r>
          </w:p>
          <w:p w:rsidR="0053232D" w:rsidRPr="00BD71AF" w:rsidRDefault="0053232D" w:rsidP="00DC1168">
            <w:pPr>
              <w:rPr>
                <w:rFonts w:ascii="Calibri" w:hAnsi="Calibri" w:cs="Calibri"/>
                <w:color w:val="1F497D" w:themeColor="text2"/>
                <w:sz w:val="24"/>
                <w:szCs w:val="24"/>
                <w:highlight w:val="yellow"/>
              </w:rPr>
            </w:pPr>
          </w:p>
          <w:p w:rsidR="00DC1168" w:rsidRPr="00BD71AF" w:rsidRDefault="00DC1168" w:rsidP="00DC1168">
            <w:pPr>
              <w:rPr>
                <w:rFonts w:ascii="Calibri" w:hAnsi="Calibri" w:cs="Calibri"/>
                <w:b/>
                <w:sz w:val="24"/>
                <w:szCs w:val="24"/>
                <w:u w:val="single"/>
              </w:rPr>
            </w:pPr>
            <w:r w:rsidRPr="00BD71AF">
              <w:rPr>
                <w:rFonts w:ascii="Calibri" w:hAnsi="Calibri" w:cs="Calibri"/>
                <w:b/>
                <w:sz w:val="24"/>
                <w:szCs w:val="24"/>
                <w:u w:val="single"/>
              </w:rPr>
              <w:t>Hyperhidrosis</w:t>
            </w:r>
          </w:p>
          <w:p w:rsidR="00DC1168" w:rsidRPr="00BD71AF" w:rsidRDefault="00DC1168" w:rsidP="00DC1168">
            <w:pPr>
              <w:rPr>
                <w:rFonts w:ascii="Calibri" w:hAnsi="Calibri" w:cs="Calibri"/>
                <w:sz w:val="24"/>
                <w:szCs w:val="24"/>
                <w:highlight w:val="yellow"/>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Botulinum toxin type A is recommended as a treatment option in patients with severe axillary hyperhidrosis that has not been adequately controlled by topical aluminium chloride or other extra-strength antiperspirants. Severe axillary hyperhidrosis is indicated by a baseline score of 3 or 4 on the Hyperhidrosis Disease Severity Scale (HDSS).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The first line treatment for primary axillary hyperhidrosis is aluminium chloride hexahydrate 20% solution, the only licensed non-surgical treatment currently available in the UK. Unlicensed or off label topical and oral treatments may be considered under specialist recommendation but there is weak evidence of their effectiveness. </w:t>
            </w:r>
          </w:p>
          <w:p w:rsidR="00DC1168" w:rsidRPr="00BD71AF" w:rsidRDefault="00DC1168" w:rsidP="00DC1168">
            <w:pPr>
              <w:rPr>
                <w:rFonts w:ascii="Calibri" w:hAnsi="Calibri" w:cs="Calibri"/>
                <w:sz w:val="24"/>
                <w:szCs w:val="24"/>
              </w:rPr>
            </w:pPr>
          </w:p>
          <w:p w:rsidR="0056472D" w:rsidRPr="0056472D" w:rsidRDefault="00DC1168" w:rsidP="0056472D">
            <w:pPr>
              <w:numPr>
                <w:ilvl w:val="0"/>
                <w:numId w:val="14"/>
              </w:numPr>
              <w:rPr>
                <w:rFonts w:ascii="Calibri" w:hAnsi="Calibri" w:cs="Calibri"/>
                <w:sz w:val="24"/>
                <w:szCs w:val="24"/>
              </w:rPr>
            </w:pPr>
            <w:r w:rsidRPr="00BD71AF">
              <w:rPr>
                <w:rFonts w:ascii="Calibri" w:hAnsi="Calibri" w:cs="Calibri"/>
                <w:sz w:val="24"/>
                <w:szCs w:val="24"/>
              </w:rPr>
              <w:t xml:space="preserve">For patients who proceed to treatment with botulinum toxin type A and who do not have a clinical response after one treatment session, consider alternative options for on-going management. A clinical response is indicated by more than a 2 point improvement from baseline on the HDSS scale or more than a 4 point improvement from baseline on the Dermatology Life Quality Index (DLQI). </w:t>
            </w:r>
          </w:p>
          <w:p w:rsidR="00DC1168" w:rsidRPr="00B80CC2" w:rsidRDefault="0056472D" w:rsidP="005D46F3">
            <w:pPr>
              <w:pStyle w:val="Quote"/>
              <w:numPr>
                <w:ilvl w:val="0"/>
                <w:numId w:val="18"/>
              </w:numPr>
              <w:jc w:val="left"/>
              <w:rPr>
                <w:rFonts w:asciiTheme="minorHAnsi" w:hAnsiTheme="minorHAnsi" w:cstheme="minorHAnsi"/>
                <w:i w:val="0"/>
                <w:sz w:val="24"/>
                <w:szCs w:val="24"/>
              </w:rPr>
            </w:pPr>
            <w:r w:rsidRPr="004A2131">
              <w:rPr>
                <w:rFonts w:asciiTheme="minorHAnsi" w:hAnsiTheme="minorHAnsi" w:cstheme="minorHAnsi"/>
                <w:i w:val="0"/>
                <w:color w:val="auto"/>
                <w:sz w:val="24"/>
                <w:szCs w:val="24"/>
              </w:rPr>
              <w:t xml:space="preserve">A maximum of two treatment sessions per year of Botulinum </w:t>
            </w:r>
            <w:r w:rsidRPr="00B80CC2">
              <w:rPr>
                <w:rFonts w:asciiTheme="minorHAnsi" w:hAnsiTheme="minorHAnsi" w:cstheme="minorHAnsi"/>
                <w:i w:val="0"/>
                <w:sz w:val="24"/>
                <w:szCs w:val="24"/>
              </w:rPr>
              <w:t xml:space="preserve">toxin type A is recommended as a treatment option in patients with severe axillary hyperhidrosis that has not been adequately controlled by topical aluminium chloride or other extra-strength antiperspirants. Severe axillary hyperhidrosis is indicated by a baseline score of 3 or 4 on the Hyperhidrosis Disease Severity Scale (HDSS). </w:t>
            </w:r>
          </w:p>
          <w:p w:rsidR="00DC1168" w:rsidRPr="00BD71AF" w:rsidRDefault="00DC1168" w:rsidP="00DC1168">
            <w:pPr>
              <w:numPr>
                <w:ilvl w:val="0"/>
                <w:numId w:val="14"/>
              </w:numPr>
              <w:rPr>
                <w:rFonts w:ascii="Calibri" w:hAnsi="Calibri" w:cs="Calibri"/>
                <w:sz w:val="24"/>
                <w:szCs w:val="24"/>
              </w:rPr>
            </w:pPr>
            <w:r w:rsidRPr="00BD71AF">
              <w:rPr>
                <w:rFonts w:ascii="Calibri" w:hAnsi="Calibri" w:cs="Calibri"/>
                <w:sz w:val="24"/>
                <w:szCs w:val="24"/>
              </w:rPr>
              <w:t xml:space="preserve">Botulinum toxin type A should not be offered to treat hyperhidrosis in people with social anxiety disorder - </w:t>
            </w:r>
            <w:hyperlink r:id="rId14" w:history="1">
              <w:r w:rsidRPr="00BD71AF">
                <w:rPr>
                  <w:rStyle w:val="Hyperlink"/>
                  <w:rFonts w:ascii="Calibri" w:hAnsi="Calibri" w:cs="Calibri"/>
                  <w:color w:val="auto"/>
                  <w:sz w:val="24"/>
                  <w:szCs w:val="24"/>
                </w:rPr>
                <w:t>NICE CG159</w:t>
              </w:r>
            </w:hyperlink>
            <w:r w:rsidRPr="00BD71AF">
              <w:rPr>
                <w:rFonts w:ascii="Calibri" w:hAnsi="Calibri" w:cs="Calibri"/>
                <w:sz w:val="24"/>
                <w:szCs w:val="24"/>
              </w:rPr>
              <w:t xml:space="preserve"> (May 2013). </w:t>
            </w:r>
          </w:p>
          <w:p w:rsidR="00DC1168" w:rsidRPr="00BD71AF" w:rsidRDefault="00DC1168" w:rsidP="00DC1168">
            <w:pPr>
              <w:rPr>
                <w:rFonts w:ascii="Calibri" w:hAnsi="Calibri" w:cs="Calibri"/>
                <w:sz w:val="24"/>
                <w:szCs w:val="24"/>
                <w:highlight w:val="yellow"/>
              </w:rPr>
            </w:pPr>
          </w:p>
          <w:p w:rsidR="00DC1168" w:rsidRPr="00BD71AF" w:rsidRDefault="00DC1168" w:rsidP="00DC1168">
            <w:pPr>
              <w:rPr>
                <w:rFonts w:ascii="Calibri" w:hAnsi="Calibri" w:cs="Calibri"/>
                <w:sz w:val="24"/>
                <w:szCs w:val="24"/>
                <w:highlight w:val="yellow"/>
              </w:rPr>
            </w:pPr>
            <w:r w:rsidRPr="00BD71AF">
              <w:rPr>
                <w:rFonts w:ascii="Calibri" w:hAnsi="Calibri" w:cs="Calibri"/>
                <w:sz w:val="24"/>
                <w:szCs w:val="24"/>
              </w:rPr>
              <w:t xml:space="preserve">For the use of Botulinum toxin type A in treating </w:t>
            </w:r>
            <w:r w:rsidR="006839F6" w:rsidRPr="00BD71AF">
              <w:rPr>
                <w:rFonts w:ascii="Calibri" w:hAnsi="Calibri" w:cs="Calibri"/>
                <w:sz w:val="24"/>
                <w:szCs w:val="24"/>
              </w:rPr>
              <w:t>Hyperhidrosis</w:t>
            </w:r>
            <w:r w:rsidRPr="00BD71AF">
              <w:rPr>
                <w:rFonts w:ascii="Calibri" w:hAnsi="Calibri" w:cs="Calibri"/>
                <w:sz w:val="24"/>
                <w:szCs w:val="24"/>
              </w:rPr>
              <w:t xml:space="preserve">, refer also to the Pan Mersey Area Prescribing Committee Prescribing policy statement </w:t>
            </w:r>
            <w:r w:rsidRPr="00BD71AF">
              <w:rPr>
                <w:rFonts w:ascii="Calibri" w:hAnsi="Calibri" w:cs="Calibri"/>
                <w:b/>
                <w:bCs/>
                <w:i/>
                <w:sz w:val="24"/>
                <w:szCs w:val="24"/>
              </w:rPr>
              <w:t>BOTULINUM TOXIN TYPE A for Severe Axillary Hyperhidrosis</w:t>
            </w:r>
          </w:p>
          <w:p w:rsidR="006B3F0B" w:rsidRDefault="00630AF1" w:rsidP="00DC1168">
            <w:pPr>
              <w:rPr>
                <w:rStyle w:val="Hyperlink"/>
                <w:rFonts w:ascii="Calibri" w:hAnsi="Calibri" w:cs="Calibri"/>
                <w:sz w:val="24"/>
                <w:szCs w:val="24"/>
              </w:rPr>
            </w:pPr>
            <w:hyperlink r:id="rId15" w:history="1">
              <w:r w:rsidR="006C787B" w:rsidRPr="00BD71AF">
                <w:rPr>
                  <w:rStyle w:val="Hyperlink"/>
                  <w:rFonts w:ascii="Calibri" w:hAnsi="Calibri" w:cs="Calibri"/>
                  <w:sz w:val="24"/>
                  <w:szCs w:val="24"/>
                </w:rPr>
                <w:t>https://www.panmerseyapc.nhs.uk/media/1067/botulinum_hidrosis_201507_ps145_v0101.pdf</w:t>
              </w:r>
            </w:hyperlink>
            <w:r w:rsidR="006C787B" w:rsidRPr="00BD71AF">
              <w:rPr>
                <w:rStyle w:val="Hyperlink"/>
                <w:rFonts w:ascii="Calibri" w:hAnsi="Calibri" w:cs="Calibri"/>
                <w:sz w:val="24"/>
                <w:szCs w:val="24"/>
              </w:rPr>
              <w:t xml:space="preserve"> </w:t>
            </w:r>
          </w:p>
          <w:p w:rsidR="00DC1168" w:rsidRPr="00BD71AF" w:rsidRDefault="00DC1168" w:rsidP="00DC1168">
            <w:pPr>
              <w:rPr>
                <w:rFonts w:ascii="Calibri" w:hAnsi="Calibri" w:cs="Calibri"/>
                <w:sz w:val="24"/>
                <w:szCs w:val="24"/>
              </w:rPr>
            </w:pPr>
            <w:r w:rsidRPr="00BD71AF">
              <w:rPr>
                <w:rFonts w:ascii="Calibri" w:hAnsi="Calibri" w:cs="Calibri"/>
                <w:bCs/>
                <w:sz w:val="24"/>
                <w:szCs w:val="24"/>
              </w:rPr>
              <w:t>BOTULINUM TOXIN TYPE A is not routinely commissioned for n</w:t>
            </w:r>
            <w:r w:rsidRPr="00BD71AF">
              <w:rPr>
                <w:rFonts w:ascii="Calibri" w:hAnsi="Calibri" w:cs="Calibri"/>
                <w:sz w:val="24"/>
                <w:szCs w:val="24"/>
              </w:rPr>
              <w:t>on-axillary Hyperhidrosis.</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b/>
                <w:sz w:val="24"/>
                <w:szCs w:val="24"/>
                <w:u w:val="single"/>
              </w:rPr>
            </w:pPr>
            <w:r w:rsidRPr="00BD71AF">
              <w:rPr>
                <w:rFonts w:ascii="Calibri" w:hAnsi="Calibri" w:cs="Calibri"/>
                <w:b/>
                <w:sz w:val="24"/>
                <w:szCs w:val="24"/>
                <w:u w:val="single"/>
              </w:rPr>
              <w:t>Migraine</w:t>
            </w: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Botulinum toxin type A is recommended as a treatment option for the prophylaxis of headaches in adults with migraine in accordance with </w:t>
            </w:r>
            <w:hyperlink r:id="rId16" w:history="1">
              <w:r w:rsidRPr="00BD71AF">
                <w:rPr>
                  <w:rStyle w:val="Hyperlink"/>
                  <w:rFonts w:ascii="Calibri" w:hAnsi="Calibri" w:cs="Calibri"/>
                  <w:color w:val="auto"/>
                  <w:sz w:val="24"/>
                  <w:szCs w:val="24"/>
                </w:rPr>
                <w:t>NICE TA 260</w:t>
              </w:r>
            </w:hyperlink>
            <w:r w:rsidRPr="00BD71AF">
              <w:rPr>
                <w:rFonts w:ascii="Calibri" w:hAnsi="Calibri" w:cs="Calibri"/>
                <w:sz w:val="24"/>
                <w:szCs w:val="24"/>
              </w:rPr>
              <w:t xml:space="preserve"> (June 2012).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NICE recommend Botulinum toxin type A as an option for the prophylaxis of headaches in adults with chronic migraine (defined as headaches on at least 15 days per month of which at least 8 days are with migraine): </w:t>
            </w:r>
          </w:p>
          <w:p w:rsidR="00DC1168" w:rsidRPr="00BD71AF" w:rsidRDefault="00DC1168" w:rsidP="00DC1168">
            <w:pPr>
              <w:rPr>
                <w:rFonts w:ascii="Calibri" w:hAnsi="Calibri" w:cs="Calibri"/>
                <w:sz w:val="24"/>
                <w:szCs w:val="24"/>
              </w:rPr>
            </w:pPr>
          </w:p>
          <w:p w:rsidR="00DC1168" w:rsidRPr="00BD71AF" w:rsidRDefault="00DC1168" w:rsidP="00DC1168">
            <w:pPr>
              <w:numPr>
                <w:ilvl w:val="0"/>
                <w:numId w:val="13"/>
              </w:numPr>
              <w:rPr>
                <w:rFonts w:ascii="Calibri" w:hAnsi="Calibri" w:cs="Calibri"/>
                <w:sz w:val="24"/>
                <w:szCs w:val="24"/>
              </w:rPr>
            </w:pPr>
            <w:r w:rsidRPr="00BD71AF">
              <w:rPr>
                <w:rFonts w:ascii="Calibri" w:hAnsi="Calibri" w:cs="Calibri"/>
                <w:sz w:val="24"/>
                <w:szCs w:val="24"/>
              </w:rPr>
              <w:t xml:space="preserve">that has not responded to at least three prior pharmacological prophylaxis therapies </w:t>
            </w: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AND </w:t>
            </w:r>
          </w:p>
          <w:p w:rsidR="00DC1168" w:rsidRPr="00BD71AF" w:rsidRDefault="00DC1168" w:rsidP="00DC1168">
            <w:pPr>
              <w:numPr>
                <w:ilvl w:val="0"/>
                <w:numId w:val="13"/>
              </w:numPr>
              <w:rPr>
                <w:rFonts w:ascii="Calibri" w:hAnsi="Calibri" w:cs="Calibri"/>
                <w:sz w:val="24"/>
                <w:szCs w:val="24"/>
              </w:rPr>
            </w:pPr>
            <w:r w:rsidRPr="00BD71AF">
              <w:rPr>
                <w:rFonts w:ascii="Calibri" w:hAnsi="Calibri" w:cs="Calibri"/>
                <w:sz w:val="24"/>
                <w:szCs w:val="24"/>
              </w:rPr>
              <w:t xml:space="preserve">whose condition is appropriately managed for medication overuse.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Treatment with botulinum toxin type A should be stopped in people whose condition: </w:t>
            </w:r>
          </w:p>
          <w:p w:rsidR="00DC1168" w:rsidRPr="00BD71AF" w:rsidRDefault="00DC1168" w:rsidP="00DC1168">
            <w:pPr>
              <w:numPr>
                <w:ilvl w:val="0"/>
                <w:numId w:val="13"/>
              </w:numPr>
              <w:rPr>
                <w:rFonts w:ascii="Calibri" w:hAnsi="Calibri" w:cs="Calibri"/>
                <w:sz w:val="24"/>
                <w:szCs w:val="24"/>
              </w:rPr>
            </w:pPr>
            <w:r w:rsidRPr="00BD71AF">
              <w:rPr>
                <w:rFonts w:ascii="Calibri" w:hAnsi="Calibri" w:cs="Calibri"/>
                <w:sz w:val="24"/>
                <w:szCs w:val="24"/>
              </w:rPr>
              <w:t xml:space="preserve">is not adequately responding to treatment (defined as less than a 30% reduction in headache days per month after two treatment cycles) </w:t>
            </w: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OR </w:t>
            </w:r>
          </w:p>
          <w:p w:rsidR="00DC1168" w:rsidRPr="00BD71AF" w:rsidRDefault="00DC1168" w:rsidP="00DC1168">
            <w:pPr>
              <w:numPr>
                <w:ilvl w:val="0"/>
                <w:numId w:val="13"/>
              </w:numPr>
              <w:rPr>
                <w:rFonts w:ascii="Calibri" w:hAnsi="Calibri" w:cs="Calibri"/>
                <w:sz w:val="24"/>
                <w:szCs w:val="24"/>
              </w:rPr>
            </w:pPr>
            <w:r w:rsidRPr="00BD71AF">
              <w:rPr>
                <w:rFonts w:ascii="Calibri" w:hAnsi="Calibri" w:cs="Calibri"/>
                <w:sz w:val="24"/>
                <w:szCs w:val="24"/>
              </w:rPr>
              <w:t xml:space="preserve">has changed to episodic migraine (defined as fewer than 15 headache days per month) for three consecutive months.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Botulinum toxin type A for the prophylaxis of migraine will be prescribed and administered under the supervision of a specialist designation neurological centre.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b/>
                <w:sz w:val="24"/>
                <w:szCs w:val="24"/>
                <w:u w:val="single"/>
              </w:rPr>
            </w:pPr>
            <w:r w:rsidRPr="00BD71AF">
              <w:rPr>
                <w:rFonts w:ascii="Calibri" w:hAnsi="Calibri" w:cs="Calibri"/>
                <w:b/>
                <w:sz w:val="24"/>
                <w:szCs w:val="24"/>
                <w:u w:val="single"/>
              </w:rPr>
              <w:t>Botulinum Toxin A is also commissioned in the following indications:</w:t>
            </w:r>
          </w:p>
          <w:p w:rsidR="00DC1168" w:rsidRPr="00BD71AF" w:rsidRDefault="00DC1168" w:rsidP="00DC1168">
            <w:pPr>
              <w:rPr>
                <w:rFonts w:ascii="Calibri" w:hAnsi="Calibri" w:cs="Calibri"/>
                <w:b/>
                <w:sz w:val="24"/>
                <w:szCs w:val="24"/>
                <w:u w:val="single"/>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Blepharospasm and hemifacial spasm</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color w:val="1F497D" w:themeColor="text2"/>
                <w:sz w:val="24"/>
                <w:szCs w:val="24"/>
              </w:rPr>
            </w:pPr>
            <w:r w:rsidRPr="00BD71AF">
              <w:rPr>
                <w:rFonts w:ascii="Calibri" w:hAnsi="Calibri" w:cs="Calibri"/>
                <w:sz w:val="24"/>
                <w:szCs w:val="24"/>
              </w:rPr>
              <w:t xml:space="preserve">Probable contracture of joint in multiple sclerosis, in conjunction with prolonged stretching modalities where other measures are inappropriate or ineffective (i.e. in line with NICE Clinical Guideline </w:t>
            </w:r>
            <w:r w:rsidR="009F4B76" w:rsidRPr="00BD71AF">
              <w:rPr>
                <w:rFonts w:ascii="Calibri" w:hAnsi="Calibri" w:cs="Calibri"/>
                <w:sz w:val="24"/>
                <w:szCs w:val="24"/>
              </w:rPr>
              <w:t>1</w:t>
            </w:r>
            <w:r w:rsidRPr="00BD71AF">
              <w:rPr>
                <w:rFonts w:ascii="Calibri" w:hAnsi="Calibri" w:cs="Calibri"/>
                <w:sz w:val="24"/>
                <w:szCs w:val="24"/>
              </w:rPr>
              <w:t>8</w:t>
            </w:r>
            <w:r w:rsidR="009F4B76" w:rsidRPr="00BD71AF">
              <w:rPr>
                <w:rFonts w:ascii="Calibri" w:hAnsi="Calibri" w:cs="Calibri"/>
                <w:sz w:val="24"/>
                <w:szCs w:val="24"/>
              </w:rPr>
              <w:t>6</w:t>
            </w:r>
            <w:r w:rsidRPr="00BD71AF">
              <w:rPr>
                <w:rFonts w:ascii="Calibri" w:hAnsi="Calibri" w:cs="Calibri"/>
                <w:sz w:val="24"/>
                <w:szCs w:val="24"/>
              </w:rPr>
              <w:t xml:space="preserve">). </w:t>
            </w:r>
            <w:r w:rsidR="009F4B76" w:rsidRPr="00BD71AF">
              <w:rPr>
                <w:rStyle w:val="Hyperlink"/>
                <w:rFonts w:ascii="Calibri" w:hAnsi="Calibri" w:cs="Calibri"/>
                <w:sz w:val="24"/>
                <w:szCs w:val="24"/>
              </w:rPr>
              <w:t>https://www.nice.org.uk/guidance/cg186</w:t>
            </w:r>
          </w:p>
          <w:p w:rsidR="00DC1168" w:rsidRPr="00BD71AF" w:rsidRDefault="00DC1168" w:rsidP="00DC1168">
            <w:pPr>
              <w:rPr>
                <w:rFonts w:ascii="Calibri" w:hAnsi="Calibri" w:cs="Calibri"/>
                <w:color w:val="1F497D" w:themeColor="text2"/>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Focal dystonia, where other measures are inappropriate or ineffective.</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Focal spasticity in patients with upper motor neurone syndrome, caused by cerebral palsy, stroke, acquired brain injury, multiple sclerosis, spinal cord injuries and neurodegenerative disease, where other measures are inappropriate or ineffective.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sz w:val="24"/>
                <w:szCs w:val="24"/>
              </w:rPr>
            </w:pPr>
            <w:r w:rsidRPr="00BD71AF">
              <w:rPr>
                <w:rFonts w:ascii="Calibri" w:hAnsi="Calibri" w:cs="Calibri"/>
                <w:sz w:val="24"/>
                <w:szCs w:val="24"/>
              </w:rPr>
              <w:t xml:space="preserve">Idiopathic cervical dystonia (spasmodic torticollis). </w:t>
            </w:r>
          </w:p>
          <w:p w:rsidR="00DC1168" w:rsidRPr="00BD71AF" w:rsidRDefault="00DC1168" w:rsidP="00DC1168">
            <w:pPr>
              <w:rPr>
                <w:rFonts w:ascii="Calibri" w:hAnsi="Calibri" w:cs="Calibri"/>
                <w:sz w:val="24"/>
                <w:szCs w:val="24"/>
              </w:rPr>
            </w:pPr>
          </w:p>
          <w:p w:rsidR="00DC1168" w:rsidRPr="00BD71AF" w:rsidRDefault="00DC1168" w:rsidP="00DC1168">
            <w:pPr>
              <w:rPr>
                <w:rFonts w:ascii="Calibri" w:hAnsi="Calibri" w:cs="Calibri"/>
                <w:color w:val="1F497D" w:themeColor="text2"/>
                <w:sz w:val="24"/>
                <w:szCs w:val="24"/>
              </w:rPr>
            </w:pPr>
            <w:r w:rsidRPr="00BD71AF">
              <w:rPr>
                <w:rFonts w:ascii="Calibri" w:hAnsi="Calibri" w:cs="Calibri"/>
                <w:sz w:val="24"/>
                <w:szCs w:val="24"/>
              </w:rPr>
              <w:t xml:space="preserve">Refractory detrusitor overactivity, only line with NICE Clinical Guideline 171 (women) </w:t>
            </w:r>
            <w:hyperlink r:id="rId17" w:history="1">
              <w:r w:rsidRPr="00BD71AF">
                <w:rPr>
                  <w:rStyle w:val="Hyperlink"/>
                  <w:rFonts w:ascii="Calibri" w:hAnsi="Calibri" w:cs="Calibri"/>
                  <w:sz w:val="24"/>
                  <w:szCs w:val="24"/>
                </w:rPr>
                <w:t>http://guidance.nice.org.uk/CG171</w:t>
              </w:r>
            </w:hyperlink>
            <w:r w:rsidRPr="00BD71AF">
              <w:rPr>
                <w:rFonts w:ascii="Calibri" w:hAnsi="Calibri" w:cs="Calibri"/>
                <w:color w:val="1F497D" w:themeColor="text2"/>
                <w:sz w:val="24"/>
                <w:szCs w:val="24"/>
                <w:u w:val="single"/>
              </w:rPr>
              <w:t xml:space="preserve"> </w:t>
            </w:r>
            <w:r w:rsidRPr="00BD71AF">
              <w:rPr>
                <w:rFonts w:ascii="Calibri" w:hAnsi="Calibri" w:cs="Calibri"/>
                <w:sz w:val="24"/>
                <w:szCs w:val="24"/>
                <w:u w:val="single"/>
              </w:rPr>
              <w:t>(updated November 2015)</w:t>
            </w:r>
            <w:r w:rsidRPr="00BD71AF">
              <w:rPr>
                <w:rFonts w:ascii="Calibri" w:hAnsi="Calibri" w:cs="Calibri"/>
                <w:sz w:val="24"/>
                <w:szCs w:val="24"/>
              </w:rPr>
              <w:t xml:space="preserve"> and Clinical Guideline 97 (men) </w:t>
            </w:r>
            <w:hyperlink r:id="rId18" w:history="1">
              <w:r w:rsidRPr="00BD71AF">
                <w:rPr>
                  <w:rStyle w:val="Hyperlink"/>
                  <w:rFonts w:ascii="Calibri" w:hAnsi="Calibri" w:cs="Calibri"/>
                  <w:sz w:val="24"/>
                  <w:szCs w:val="24"/>
                </w:rPr>
                <w:t>http://guidance.nice.org.uk/CG97</w:t>
              </w:r>
            </w:hyperlink>
            <w:r w:rsidRPr="00BD71AF">
              <w:rPr>
                <w:rFonts w:ascii="Calibri" w:hAnsi="Calibri" w:cs="Calibri"/>
                <w:color w:val="1F497D" w:themeColor="text2"/>
                <w:sz w:val="24"/>
                <w:szCs w:val="24"/>
              </w:rPr>
              <w:t xml:space="preserve"> </w:t>
            </w:r>
            <w:r w:rsidRPr="00BD71AF">
              <w:rPr>
                <w:rFonts w:ascii="Calibri" w:hAnsi="Calibri" w:cs="Calibri"/>
                <w:sz w:val="24"/>
                <w:szCs w:val="24"/>
              </w:rPr>
              <w:t>(updated June 2015)where conservative therapy and conventional drug treatment has failed to control symptoms and the patient is able and willing to self-catheterise.</w:t>
            </w:r>
          </w:p>
          <w:p w:rsidR="00DC1168" w:rsidRPr="00BD71AF" w:rsidRDefault="00DC1168" w:rsidP="00DC1168">
            <w:pPr>
              <w:rPr>
                <w:rFonts w:ascii="Calibri" w:hAnsi="Calibri" w:cs="Calibri"/>
                <w:sz w:val="24"/>
                <w:szCs w:val="24"/>
              </w:rPr>
            </w:pPr>
          </w:p>
          <w:p w:rsidR="001E2729" w:rsidRPr="00BD71AF" w:rsidRDefault="00DC1168" w:rsidP="00DC1168">
            <w:pPr>
              <w:rPr>
                <w:rFonts w:ascii="Calibri" w:hAnsi="Calibri" w:cs="Calibri"/>
                <w:sz w:val="24"/>
                <w:szCs w:val="24"/>
              </w:rPr>
            </w:pPr>
            <w:r w:rsidRPr="00BD71AF">
              <w:rPr>
                <w:rFonts w:ascii="Calibri" w:hAnsi="Calibri" w:cs="Calibri"/>
                <w:sz w:val="24"/>
                <w:szCs w:val="24"/>
              </w:rPr>
              <w:t>Sialorrhoea (excessive salivary drooling), when other treatments have failed.</w:t>
            </w:r>
          </w:p>
        </w:tc>
      </w:tr>
      <w:tr w:rsidR="007B2E57" w:rsidRPr="00BD71AF" w:rsidTr="00EA3289">
        <w:trPr>
          <w:trHeight w:val="595"/>
        </w:trPr>
        <w:tc>
          <w:tcPr>
            <w:tcW w:w="1462" w:type="dxa"/>
          </w:tcPr>
          <w:p w:rsidR="00672454" w:rsidRPr="00BD71AF" w:rsidRDefault="00672454" w:rsidP="001713B7">
            <w:pPr>
              <w:rPr>
                <w:rFonts w:ascii="Calibri" w:hAnsi="Calibri" w:cs="Calibri"/>
                <w:b/>
                <w:sz w:val="24"/>
                <w:szCs w:val="24"/>
              </w:rPr>
            </w:pPr>
            <w:r w:rsidRPr="00BD71AF">
              <w:rPr>
                <w:rFonts w:ascii="Calibri" w:hAnsi="Calibri" w:cs="Calibri"/>
                <w:b/>
                <w:sz w:val="24"/>
                <w:szCs w:val="24"/>
              </w:rPr>
              <w:t>Rationale</w:t>
            </w:r>
          </w:p>
        </w:tc>
        <w:tc>
          <w:tcPr>
            <w:tcW w:w="9454" w:type="dxa"/>
          </w:tcPr>
          <w:p w:rsidR="00C05712" w:rsidRPr="00BD71AF" w:rsidRDefault="00C05712" w:rsidP="003D2003">
            <w:pPr>
              <w:pStyle w:val="Default"/>
            </w:pPr>
            <w:r>
              <w:t xml:space="preserve">Botulinum toxin </w:t>
            </w:r>
            <w:r w:rsidR="000A7AD0">
              <w:t xml:space="preserve">can be used to treat </w:t>
            </w:r>
            <w:r>
              <w:t>various medical conditions</w:t>
            </w:r>
            <w:r w:rsidR="000A7AD0">
              <w:t xml:space="preserve"> and is an </w:t>
            </w:r>
            <w:r>
              <w:t>effective way to reduce pain and decrease muscle spasms</w:t>
            </w:r>
            <w:r w:rsidR="00EA3289">
              <w:t>.</w:t>
            </w:r>
            <w:r w:rsidR="0029018E">
              <w:t xml:space="preserve"> It is not commissioned for cosmetic reasons.</w:t>
            </w:r>
          </w:p>
        </w:tc>
      </w:tr>
      <w:tr w:rsidR="007B2E57" w:rsidRPr="00BD71AF" w:rsidTr="007B2E57">
        <w:trPr>
          <w:trHeight w:val="895"/>
        </w:trPr>
        <w:tc>
          <w:tcPr>
            <w:tcW w:w="1462" w:type="dxa"/>
          </w:tcPr>
          <w:p w:rsidR="00125242" w:rsidRPr="00BD71AF" w:rsidRDefault="00125242" w:rsidP="00125242">
            <w:pPr>
              <w:pStyle w:val="Default"/>
              <w:rPr>
                <w:b/>
              </w:rPr>
            </w:pPr>
            <w:r w:rsidRPr="00BD71AF">
              <w:rPr>
                <w:b/>
                <w:bCs/>
              </w:rPr>
              <w:t xml:space="preserve">Evidence for inclusion and threshold </w:t>
            </w:r>
          </w:p>
          <w:p w:rsidR="00125242" w:rsidRPr="00BD71AF" w:rsidRDefault="00125242" w:rsidP="001713B7">
            <w:pPr>
              <w:rPr>
                <w:rFonts w:ascii="Calibri" w:hAnsi="Calibri" w:cs="Calibri"/>
                <w:b/>
                <w:sz w:val="24"/>
                <w:szCs w:val="24"/>
              </w:rPr>
            </w:pPr>
          </w:p>
        </w:tc>
        <w:tc>
          <w:tcPr>
            <w:tcW w:w="9454" w:type="dxa"/>
          </w:tcPr>
          <w:p w:rsidR="00C05750" w:rsidRPr="00BD71AF" w:rsidRDefault="00C05750" w:rsidP="004A4891">
            <w:pPr>
              <w:spacing w:before="120"/>
              <w:rPr>
                <w:rFonts w:ascii="Calibri" w:eastAsia="Arial" w:hAnsi="Calibri" w:cs="Calibri"/>
                <w:sz w:val="24"/>
                <w:szCs w:val="24"/>
              </w:rPr>
            </w:pPr>
            <w:r w:rsidRPr="00BD71AF">
              <w:rPr>
                <w:rFonts w:ascii="Calibri" w:eastAsia="Arial" w:hAnsi="Calibri" w:cs="Calibri"/>
                <w:sz w:val="24"/>
                <w:szCs w:val="24"/>
              </w:rPr>
              <w:t>NICE</w:t>
            </w:r>
            <w:r w:rsidRPr="00BD71AF">
              <w:rPr>
                <w:rFonts w:ascii="Calibri" w:hAnsi="Calibri" w:cs="Calibri"/>
                <w:sz w:val="24"/>
                <w:szCs w:val="24"/>
              </w:rPr>
              <w:t xml:space="preserve"> </w:t>
            </w:r>
            <w:r w:rsidRPr="00BD71AF">
              <w:rPr>
                <w:rFonts w:ascii="Calibri" w:eastAsia="Arial" w:hAnsi="Calibri" w:cs="Calibri"/>
                <w:sz w:val="24"/>
                <w:szCs w:val="24"/>
              </w:rPr>
              <w:t xml:space="preserve">Technology Appraisal 159 relating to the treatment of hyperhidrosis in people with social anxiety disorder: </w:t>
            </w:r>
            <w:hyperlink r:id="rId19" w:history="1">
              <w:r w:rsidRPr="00BD71AF">
                <w:rPr>
                  <w:rStyle w:val="Hyperlink"/>
                  <w:rFonts w:ascii="Calibri" w:eastAsia="Arial" w:hAnsi="Calibri" w:cs="Calibri"/>
                  <w:sz w:val="24"/>
                  <w:szCs w:val="24"/>
                </w:rPr>
                <w:t>https://www.nice.org.uk/guidance/cg159</w:t>
              </w:r>
            </w:hyperlink>
            <w:r w:rsidRPr="00BD71AF">
              <w:rPr>
                <w:rFonts w:ascii="Calibri" w:eastAsia="Arial" w:hAnsi="Calibri" w:cs="Calibri"/>
                <w:sz w:val="24"/>
                <w:szCs w:val="24"/>
              </w:rPr>
              <w:t xml:space="preserve"> </w:t>
            </w:r>
          </w:p>
          <w:p w:rsidR="002D1825" w:rsidRPr="00BD71AF" w:rsidRDefault="00C05750" w:rsidP="004A4891">
            <w:pPr>
              <w:spacing w:before="120"/>
              <w:rPr>
                <w:rStyle w:val="Hyperlink"/>
                <w:rFonts w:ascii="Calibri" w:eastAsia="Arial" w:hAnsi="Calibri" w:cs="Calibri"/>
                <w:sz w:val="24"/>
                <w:szCs w:val="24"/>
              </w:rPr>
            </w:pPr>
            <w:r w:rsidRPr="00BD71AF">
              <w:rPr>
                <w:rFonts w:ascii="Calibri" w:eastAsia="Arial" w:hAnsi="Calibri" w:cs="Calibri"/>
                <w:sz w:val="24"/>
                <w:szCs w:val="24"/>
              </w:rPr>
              <w:t xml:space="preserve">Pan Mersey Area Prescribing Committee (APC) Prescribing Policy Statement relating to the treatment of severe axillary hyperhidrosis: </w:t>
            </w:r>
            <w:hyperlink r:id="rId20" w:history="1">
              <w:r w:rsidR="006C787B" w:rsidRPr="00BD71AF">
                <w:rPr>
                  <w:rStyle w:val="Hyperlink"/>
                  <w:rFonts w:ascii="Calibri" w:eastAsia="Arial" w:hAnsi="Calibri" w:cs="Calibri"/>
                  <w:sz w:val="24"/>
                  <w:szCs w:val="24"/>
                </w:rPr>
                <w:t>https://www.panmerseyapc.nhs.uk/media/1067/botulinum_hidrosis_201507_ps145_v0101.pdf</w:t>
              </w:r>
            </w:hyperlink>
            <w:r w:rsidR="006C787B" w:rsidRPr="00BD71AF">
              <w:rPr>
                <w:rStyle w:val="Hyperlink"/>
                <w:rFonts w:ascii="Calibri" w:eastAsia="Arial" w:hAnsi="Calibri" w:cs="Calibri"/>
                <w:sz w:val="24"/>
                <w:szCs w:val="24"/>
              </w:rPr>
              <w:t xml:space="preserve"> </w:t>
            </w:r>
          </w:p>
          <w:p w:rsidR="002D1825" w:rsidRPr="00BD71AF" w:rsidRDefault="002D1825" w:rsidP="002D1825">
            <w:pPr>
              <w:rPr>
                <w:rFonts w:ascii="Calibri" w:hAnsi="Calibri" w:cs="Calibri"/>
                <w:sz w:val="24"/>
                <w:szCs w:val="24"/>
              </w:rPr>
            </w:pPr>
            <w:r w:rsidRPr="00BD71AF">
              <w:rPr>
                <w:rFonts w:ascii="Calibri" w:eastAsia="Arial" w:hAnsi="Calibri" w:cs="Calibri"/>
                <w:sz w:val="24"/>
                <w:szCs w:val="24"/>
              </w:rPr>
              <w:t>Pan Mersey Area Prescribing Committee (APC) Prescribing Policy Statement relating to the treatment of C</w:t>
            </w:r>
            <w:r w:rsidRPr="00BD71AF">
              <w:rPr>
                <w:rFonts w:ascii="Calibri" w:hAnsi="Calibri" w:cs="Calibri"/>
                <w:bCs/>
                <w:sz w:val="24"/>
                <w:szCs w:val="24"/>
              </w:rPr>
              <w:t>hronic anal fissure</w:t>
            </w:r>
            <w:r w:rsidRPr="00BD71AF">
              <w:rPr>
                <w:rFonts w:ascii="Calibri" w:hAnsi="Calibri" w:cs="Calibri"/>
                <w:sz w:val="24"/>
                <w:szCs w:val="24"/>
              </w:rPr>
              <w:t xml:space="preserve">: </w:t>
            </w:r>
            <w:r w:rsidRPr="00BD71AF">
              <w:rPr>
                <w:rStyle w:val="Hyperlink"/>
                <w:rFonts w:ascii="Calibri" w:hAnsi="Calibri" w:cs="Calibri"/>
                <w:sz w:val="24"/>
                <w:szCs w:val="24"/>
              </w:rPr>
              <w:t>https://www.panmerseyapc.nhs.uk/media/1568/botulinum_anal_201805_ps67_v0300.pdf</w:t>
            </w:r>
          </w:p>
          <w:p w:rsidR="00445646" w:rsidRPr="00BD71AF" w:rsidRDefault="00C05750" w:rsidP="006C787B">
            <w:pPr>
              <w:spacing w:before="120"/>
              <w:rPr>
                <w:rStyle w:val="Hyperlink"/>
                <w:rFonts w:ascii="Calibri" w:eastAsia="Arial" w:hAnsi="Calibri" w:cs="Calibri"/>
                <w:color w:val="auto"/>
                <w:sz w:val="24"/>
                <w:szCs w:val="24"/>
                <w:u w:val="none"/>
              </w:rPr>
            </w:pPr>
            <w:r w:rsidRPr="00BD71AF">
              <w:rPr>
                <w:rFonts w:ascii="Calibri" w:eastAsia="Arial" w:hAnsi="Calibri" w:cs="Calibri"/>
                <w:sz w:val="24"/>
                <w:szCs w:val="24"/>
              </w:rPr>
              <w:t>NICE</w:t>
            </w:r>
            <w:r w:rsidRPr="00BD71AF">
              <w:rPr>
                <w:rFonts w:ascii="Calibri" w:hAnsi="Calibri" w:cs="Calibri"/>
                <w:sz w:val="24"/>
                <w:szCs w:val="24"/>
              </w:rPr>
              <w:t xml:space="preserve"> </w:t>
            </w:r>
            <w:r w:rsidRPr="00BD71AF">
              <w:rPr>
                <w:rFonts w:ascii="Calibri" w:eastAsia="Arial" w:hAnsi="Calibri" w:cs="Calibri"/>
                <w:sz w:val="24"/>
                <w:szCs w:val="24"/>
              </w:rPr>
              <w:t xml:space="preserve">Technology Appraisal 260 relating to the treatment of migraines: </w:t>
            </w:r>
            <w:hyperlink r:id="rId21" w:history="1">
              <w:r w:rsidRPr="00BD71AF">
                <w:rPr>
                  <w:rStyle w:val="Hyperlink"/>
                  <w:rFonts w:ascii="Calibri" w:eastAsia="Arial" w:hAnsi="Calibri" w:cs="Calibri"/>
                  <w:sz w:val="24"/>
                  <w:szCs w:val="24"/>
                </w:rPr>
                <w:t>https://www.nice.org.uk/guidance/ta260</w:t>
              </w:r>
            </w:hyperlink>
          </w:p>
          <w:p w:rsidR="005D5CB0" w:rsidRPr="00BD71AF" w:rsidRDefault="005D5CB0" w:rsidP="005D5CB0">
            <w:pPr>
              <w:spacing w:before="120"/>
              <w:rPr>
                <w:rFonts w:ascii="Calibri" w:eastAsia="Arial" w:hAnsi="Calibri" w:cs="Calibri"/>
                <w:sz w:val="24"/>
                <w:szCs w:val="24"/>
              </w:rPr>
            </w:pPr>
            <w:r w:rsidRPr="00BD71AF">
              <w:rPr>
                <w:rFonts w:ascii="Calibri" w:eastAsia="Arial" w:hAnsi="Calibri" w:cs="Calibri"/>
                <w:sz w:val="24"/>
                <w:szCs w:val="24"/>
              </w:rPr>
              <w:t xml:space="preserve">Spasticity in under 19s: management (CG145 Updated November 2015) </w:t>
            </w:r>
            <w:hyperlink r:id="rId22" w:history="1">
              <w:r w:rsidRPr="00BD71AF">
                <w:rPr>
                  <w:rStyle w:val="Hyperlink"/>
                  <w:rFonts w:ascii="Calibri" w:eastAsia="Arial" w:hAnsi="Calibri" w:cs="Calibri"/>
                  <w:sz w:val="24"/>
                  <w:szCs w:val="24"/>
                </w:rPr>
                <w:t>https://www.nice.org.uk/guidance/cg145/chapter/1-guidance</w:t>
              </w:r>
            </w:hyperlink>
            <w:r w:rsidRPr="00BD71AF">
              <w:rPr>
                <w:rFonts w:ascii="Calibri" w:eastAsia="Arial" w:hAnsi="Calibri" w:cs="Calibri"/>
                <w:sz w:val="24"/>
                <w:szCs w:val="24"/>
              </w:rPr>
              <w:t xml:space="preserve">  </w:t>
            </w:r>
          </w:p>
          <w:p w:rsidR="005D5CB0" w:rsidRPr="00BD71AF" w:rsidRDefault="005D5CB0" w:rsidP="005D5CB0">
            <w:pPr>
              <w:spacing w:before="120"/>
              <w:rPr>
                <w:rFonts w:ascii="Calibri" w:eastAsia="Arial" w:hAnsi="Calibri" w:cs="Calibri"/>
                <w:sz w:val="24"/>
                <w:szCs w:val="24"/>
              </w:rPr>
            </w:pPr>
            <w:r w:rsidRPr="00BD71AF">
              <w:rPr>
                <w:rFonts w:ascii="Calibri" w:eastAsia="Arial" w:hAnsi="Calibri" w:cs="Calibri"/>
                <w:sz w:val="24"/>
                <w:szCs w:val="24"/>
              </w:rPr>
              <w:t xml:space="preserve">NHS Choices: Dystonia </w:t>
            </w:r>
          </w:p>
          <w:p w:rsidR="005D5CB0" w:rsidRPr="00BD71AF" w:rsidRDefault="00630AF1" w:rsidP="005D5CB0">
            <w:pPr>
              <w:spacing w:before="120"/>
              <w:rPr>
                <w:rFonts w:ascii="Calibri" w:eastAsia="Arial" w:hAnsi="Calibri" w:cs="Calibri"/>
                <w:sz w:val="24"/>
                <w:szCs w:val="24"/>
              </w:rPr>
            </w:pPr>
            <w:hyperlink r:id="rId23" w:history="1">
              <w:r w:rsidR="005D5CB0" w:rsidRPr="00BD71AF">
                <w:rPr>
                  <w:rStyle w:val="Hyperlink"/>
                  <w:rFonts w:ascii="Calibri" w:eastAsia="Arial" w:hAnsi="Calibri" w:cs="Calibri"/>
                  <w:sz w:val="24"/>
                  <w:szCs w:val="24"/>
                </w:rPr>
                <w:t>http://www.nhs.uk/conditions/dystonia/Pages/Introduction.aspx</w:t>
              </w:r>
            </w:hyperlink>
            <w:r w:rsidR="005D5CB0" w:rsidRPr="00BD71AF">
              <w:rPr>
                <w:rFonts w:ascii="Calibri" w:eastAsia="Arial" w:hAnsi="Calibri" w:cs="Calibri"/>
                <w:sz w:val="24"/>
                <w:szCs w:val="24"/>
              </w:rPr>
              <w:t xml:space="preserve"> </w:t>
            </w:r>
          </w:p>
          <w:p w:rsidR="005D5CB0" w:rsidRPr="00BD71AF" w:rsidRDefault="005D5CB0" w:rsidP="005D5CB0">
            <w:pPr>
              <w:spacing w:before="120"/>
              <w:rPr>
                <w:rFonts w:ascii="Calibri" w:eastAsia="Arial" w:hAnsi="Calibri" w:cs="Calibri"/>
                <w:sz w:val="24"/>
                <w:szCs w:val="24"/>
              </w:rPr>
            </w:pPr>
            <w:r w:rsidRPr="00BD71AF">
              <w:rPr>
                <w:rFonts w:ascii="Calibri" w:eastAsia="Arial" w:hAnsi="Calibri" w:cs="Calibri"/>
                <w:sz w:val="24"/>
                <w:szCs w:val="24"/>
              </w:rPr>
              <w:t>MHRA Report on Botox produced by Allergan (?)</w:t>
            </w:r>
          </w:p>
          <w:p w:rsidR="005D5CB0" w:rsidRPr="00BD71AF" w:rsidRDefault="00630AF1" w:rsidP="005D5CB0">
            <w:pPr>
              <w:spacing w:before="120"/>
              <w:rPr>
                <w:rFonts w:ascii="Calibri" w:eastAsia="Arial" w:hAnsi="Calibri" w:cs="Calibri"/>
                <w:sz w:val="24"/>
                <w:szCs w:val="24"/>
              </w:rPr>
            </w:pPr>
            <w:hyperlink r:id="rId24" w:history="1">
              <w:r w:rsidR="005D5CB0" w:rsidRPr="00BD71AF">
                <w:rPr>
                  <w:rStyle w:val="Hyperlink"/>
                  <w:rFonts w:ascii="Calibri" w:eastAsia="Arial" w:hAnsi="Calibri" w:cs="Calibri"/>
                  <w:sz w:val="24"/>
                  <w:szCs w:val="24"/>
                </w:rPr>
                <w:t>http://www.mhra.gov.uk/home/groups/par/documents/websiteresources/con108643.pdf</w:t>
              </w:r>
            </w:hyperlink>
            <w:r w:rsidR="005D5CB0" w:rsidRPr="00BD71AF">
              <w:rPr>
                <w:rFonts w:ascii="Calibri" w:eastAsia="Arial" w:hAnsi="Calibri" w:cs="Calibri"/>
                <w:sz w:val="24"/>
                <w:szCs w:val="24"/>
              </w:rPr>
              <w:t xml:space="preserve"> </w:t>
            </w:r>
          </w:p>
          <w:p w:rsidR="00CE7C17" w:rsidRPr="00BD71AF" w:rsidRDefault="00CE7C17" w:rsidP="005D5CB0">
            <w:pPr>
              <w:spacing w:before="120"/>
              <w:rPr>
                <w:rFonts w:ascii="Calibri" w:eastAsia="Arial" w:hAnsi="Calibri" w:cs="Calibri"/>
                <w:sz w:val="24"/>
                <w:szCs w:val="24"/>
              </w:rPr>
            </w:pPr>
          </w:p>
          <w:p w:rsidR="00607907" w:rsidRPr="00BD71AF" w:rsidRDefault="00B76630" w:rsidP="00B76630">
            <w:pPr>
              <w:rPr>
                <w:rFonts w:ascii="Calibri" w:hAnsi="Calibri" w:cs="Calibri"/>
                <w:sz w:val="24"/>
                <w:szCs w:val="24"/>
              </w:rPr>
            </w:pPr>
            <w:r w:rsidRPr="00BD71AF">
              <w:rPr>
                <w:rFonts w:ascii="Calibri" w:hAnsi="Calibri" w:cs="Calibri"/>
                <w:sz w:val="24"/>
                <w:szCs w:val="24"/>
              </w:rPr>
              <w:t>Multiple sclerosis in adults: management, Clinical guideline [CG186] Published date: October 2014</w:t>
            </w:r>
          </w:p>
          <w:p w:rsidR="00B76630" w:rsidRPr="00BD71AF" w:rsidRDefault="00630AF1" w:rsidP="00B76630">
            <w:pPr>
              <w:rPr>
                <w:rFonts w:ascii="Calibri" w:hAnsi="Calibri" w:cs="Calibri"/>
                <w:color w:val="1F497D" w:themeColor="text2"/>
                <w:sz w:val="24"/>
                <w:szCs w:val="24"/>
              </w:rPr>
            </w:pPr>
            <w:hyperlink r:id="rId25" w:history="1">
              <w:r w:rsidR="009F4B76" w:rsidRPr="00BD71AF">
                <w:rPr>
                  <w:rStyle w:val="Hyperlink"/>
                  <w:rFonts w:ascii="Calibri" w:hAnsi="Calibri" w:cs="Calibri"/>
                  <w:sz w:val="24"/>
                  <w:szCs w:val="24"/>
                </w:rPr>
                <w:t>https://www.nice.org.uk/guidance/cg186</w:t>
              </w:r>
            </w:hyperlink>
            <w:r w:rsidR="009F4B76" w:rsidRPr="00BD71AF">
              <w:rPr>
                <w:rFonts w:ascii="Calibri" w:hAnsi="Calibri" w:cs="Calibri"/>
                <w:color w:val="1F497D" w:themeColor="text2"/>
                <w:sz w:val="24"/>
                <w:szCs w:val="24"/>
              </w:rPr>
              <w:t xml:space="preserve"> </w:t>
            </w:r>
          </w:p>
          <w:p w:rsidR="009F4B76" w:rsidRPr="00BD71AF" w:rsidRDefault="009F4B76" w:rsidP="00B76630">
            <w:pPr>
              <w:rPr>
                <w:rFonts w:ascii="Calibri" w:hAnsi="Calibri" w:cs="Calibri"/>
                <w:color w:val="1F497D" w:themeColor="text2"/>
                <w:sz w:val="24"/>
                <w:szCs w:val="24"/>
              </w:rPr>
            </w:pPr>
          </w:p>
          <w:p w:rsidR="00607907" w:rsidRPr="00BD71AF" w:rsidRDefault="00607907" w:rsidP="00607907">
            <w:pPr>
              <w:rPr>
                <w:rFonts w:ascii="Calibri" w:hAnsi="Calibri" w:cs="Calibri"/>
                <w:sz w:val="24"/>
                <w:szCs w:val="24"/>
              </w:rPr>
            </w:pPr>
            <w:r w:rsidRPr="00BD71AF">
              <w:rPr>
                <w:rFonts w:ascii="Calibri" w:hAnsi="Calibri" w:cs="Calibri"/>
                <w:sz w:val="24"/>
                <w:szCs w:val="24"/>
              </w:rPr>
              <w:t xml:space="preserve">Refractory detrusitor overactivity, only line with NICE Clinical Guideline 171 (women) </w:t>
            </w:r>
            <w:hyperlink r:id="rId26" w:history="1">
              <w:r w:rsidRPr="00BD71AF">
                <w:rPr>
                  <w:rStyle w:val="Hyperlink"/>
                  <w:rFonts w:ascii="Calibri" w:hAnsi="Calibri" w:cs="Calibri"/>
                  <w:sz w:val="24"/>
                  <w:szCs w:val="24"/>
                </w:rPr>
                <w:t>http://guidance.nice.org.uk/CG171</w:t>
              </w:r>
            </w:hyperlink>
            <w:r w:rsidRPr="00BD71AF">
              <w:rPr>
                <w:rFonts w:ascii="Calibri" w:hAnsi="Calibri" w:cs="Calibri"/>
                <w:color w:val="1F497D" w:themeColor="text2"/>
                <w:sz w:val="24"/>
                <w:szCs w:val="24"/>
                <w:u w:val="single"/>
              </w:rPr>
              <w:t xml:space="preserve"> </w:t>
            </w:r>
            <w:r w:rsidRPr="00BD71AF">
              <w:rPr>
                <w:rFonts w:ascii="Calibri" w:hAnsi="Calibri" w:cs="Calibri"/>
                <w:sz w:val="24"/>
                <w:szCs w:val="24"/>
                <w:u w:val="single"/>
              </w:rPr>
              <w:t>(updated November 2015)</w:t>
            </w:r>
            <w:r w:rsidRPr="00BD71AF">
              <w:rPr>
                <w:rFonts w:ascii="Calibri" w:hAnsi="Calibri" w:cs="Calibri"/>
                <w:sz w:val="24"/>
                <w:szCs w:val="24"/>
              </w:rPr>
              <w:t xml:space="preserve"> and Clinical Guideline 97 (men) </w:t>
            </w:r>
            <w:hyperlink r:id="rId27" w:history="1">
              <w:r w:rsidRPr="00BD71AF">
                <w:rPr>
                  <w:rStyle w:val="Hyperlink"/>
                  <w:rFonts w:ascii="Calibri" w:hAnsi="Calibri" w:cs="Calibri"/>
                  <w:sz w:val="24"/>
                  <w:szCs w:val="24"/>
                </w:rPr>
                <w:t>http://guidance.nice.org.uk/CG97</w:t>
              </w:r>
            </w:hyperlink>
            <w:r w:rsidRPr="00BD71AF">
              <w:rPr>
                <w:rFonts w:ascii="Calibri" w:hAnsi="Calibri" w:cs="Calibri"/>
                <w:color w:val="1F497D" w:themeColor="text2"/>
                <w:sz w:val="24"/>
                <w:szCs w:val="24"/>
              </w:rPr>
              <w:t xml:space="preserve"> </w:t>
            </w:r>
            <w:r w:rsidRPr="00BD71AF">
              <w:rPr>
                <w:rFonts w:ascii="Calibri" w:hAnsi="Calibri" w:cs="Calibri"/>
                <w:sz w:val="24"/>
                <w:szCs w:val="24"/>
              </w:rPr>
              <w:t>(updated June 2015)</w:t>
            </w:r>
          </w:p>
        </w:tc>
      </w:tr>
    </w:tbl>
    <w:p w:rsidR="004A2131" w:rsidRDefault="004A2131">
      <w:pPr>
        <w:rPr>
          <w:rFonts w:ascii="Calibri" w:hAnsi="Calibri" w:cs="Calibri"/>
          <w:b/>
          <w:sz w:val="24"/>
          <w:szCs w:val="24"/>
        </w:rPr>
      </w:pPr>
    </w:p>
    <w:sectPr w:rsidR="004A2131" w:rsidSect="00C7396E">
      <w:headerReference w:type="even" r:id="rId28"/>
      <w:headerReference w:type="default" r:id="rId29"/>
      <w:footerReference w:type="even" r:id="rId30"/>
      <w:footerReference w:type="default" r:id="rId31"/>
      <w:headerReference w:type="first" r:id="rId32"/>
      <w:footerReference w:type="first" r:id="rId33"/>
      <w:pgSz w:w="11906" w:h="16838"/>
      <w:pgMar w:top="25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F1" w:rsidRDefault="00630AF1" w:rsidP="008B03CD">
      <w:pPr>
        <w:spacing w:after="0" w:line="240" w:lineRule="auto"/>
      </w:pPr>
      <w:r>
        <w:separator/>
      </w:r>
    </w:p>
  </w:endnote>
  <w:endnote w:type="continuationSeparator" w:id="0">
    <w:p w:rsidR="00630AF1" w:rsidRDefault="00630AF1" w:rsidP="008B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B6" w:rsidRDefault="00D33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88545"/>
      <w:docPartObj>
        <w:docPartGallery w:val="Page Numbers (Bottom of Page)"/>
        <w:docPartUnique/>
      </w:docPartObj>
    </w:sdtPr>
    <w:sdtEndPr>
      <w:rPr>
        <w:noProof/>
      </w:rPr>
    </w:sdtEndPr>
    <w:sdtContent>
      <w:p w:rsidR="00C7396E" w:rsidRDefault="00C7396E">
        <w:pPr>
          <w:pStyle w:val="Footer"/>
          <w:jc w:val="right"/>
        </w:pPr>
        <w:r>
          <w:fldChar w:fldCharType="begin"/>
        </w:r>
        <w:r>
          <w:instrText xml:space="preserve"> PAGE   \* MERGEFORMAT </w:instrText>
        </w:r>
        <w:r>
          <w:fldChar w:fldCharType="separate"/>
        </w:r>
        <w:r w:rsidR="0051552D">
          <w:rPr>
            <w:noProof/>
          </w:rPr>
          <w:t>2</w:t>
        </w:r>
        <w:r>
          <w:rPr>
            <w:noProof/>
          </w:rPr>
          <w:fldChar w:fldCharType="end"/>
        </w:r>
      </w:p>
    </w:sdtContent>
  </w:sdt>
  <w:p w:rsidR="00C7396E" w:rsidRDefault="00C73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B6" w:rsidRDefault="00D3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F1" w:rsidRDefault="00630AF1" w:rsidP="008B03CD">
      <w:pPr>
        <w:spacing w:after="0" w:line="240" w:lineRule="auto"/>
      </w:pPr>
      <w:r>
        <w:separator/>
      </w:r>
    </w:p>
  </w:footnote>
  <w:footnote w:type="continuationSeparator" w:id="0">
    <w:p w:rsidR="00630AF1" w:rsidRDefault="00630AF1" w:rsidP="008B0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B6" w:rsidRDefault="00D33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6E" w:rsidRDefault="00C7396E">
    <w:pPr>
      <w:pStyle w:val="Header"/>
    </w:pPr>
    <w:r w:rsidRPr="00720003">
      <w:rPr>
        <w:noProof/>
        <w:lang w:eastAsia="en-GB"/>
      </w:rPr>
      <w:drawing>
        <wp:anchor distT="0" distB="0" distL="114300" distR="114300" simplePos="0" relativeHeight="251657216" behindDoc="1" locked="1" layoutInCell="1" allowOverlap="1" wp14:anchorId="57986C06" wp14:editId="7FE2E147">
          <wp:simplePos x="0" y="0"/>
          <wp:positionH relativeFrom="page">
            <wp:posOffset>-9525</wp:posOffset>
          </wp:positionH>
          <wp:positionV relativeFrom="page">
            <wp:posOffset>1270</wp:posOffset>
          </wp:positionV>
          <wp:extent cx="7563485" cy="1144714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a:blip r:embed="rId1" cstate="print">
                    <a:extLst>
                      <a:ext uri="{28A0092B-C50C-407E-A947-70E740481C1C}">
                        <a14:useLocalDpi xmlns:a14="http://schemas.microsoft.com/office/drawing/2010/main"/>
                      </a:ext>
                    </a:extLst>
                  </a:blip>
                  <a:stretch>
                    <a:fillRect/>
                  </a:stretch>
                </pic:blipFill>
                <pic:spPr>
                  <a:xfrm>
                    <a:off x="0" y="0"/>
                    <a:ext cx="7563485" cy="114471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B6" w:rsidRDefault="00D33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288"/>
    <w:multiLevelType w:val="hybridMultilevel"/>
    <w:tmpl w:val="97CE4E8E"/>
    <w:lvl w:ilvl="0" w:tplc="1574845A">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676B4F"/>
    <w:multiLevelType w:val="hybridMultilevel"/>
    <w:tmpl w:val="EB4C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C77FC"/>
    <w:multiLevelType w:val="hybridMultilevel"/>
    <w:tmpl w:val="9BFC92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15D24771"/>
    <w:multiLevelType w:val="hybridMultilevel"/>
    <w:tmpl w:val="134A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52F96"/>
    <w:multiLevelType w:val="hybridMultilevel"/>
    <w:tmpl w:val="753E3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87498"/>
    <w:multiLevelType w:val="hybridMultilevel"/>
    <w:tmpl w:val="8FA2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6454B6"/>
    <w:multiLevelType w:val="hybridMultilevel"/>
    <w:tmpl w:val="CBE0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7756D"/>
    <w:multiLevelType w:val="hybridMultilevel"/>
    <w:tmpl w:val="21C2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3225481"/>
    <w:multiLevelType w:val="hybridMultilevel"/>
    <w:tmpl w:val="51F49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12A3166"/>
    <w:multiLevelType w:val="hybridMultilevel"/>
    <w:tmpl w:val="2488D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D84F41"/>
    <w:multiLevelType w:val="hybridMultilevel"/>
    <w:tmpl w:val="8934F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CA81D0F"/>
    <w:multiLevelType w:val="hybridMultilevel"/>
    <w:tmpl w:val="E6E6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D7B2B0B"/>
    <w:multiLevelType w:val="hybridMultilevel"/>
    <w:tmpl w:val="000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217346"/>
    <w:multiLevelType w:val="hybridMultilevel"/>
    <w:tmpl w:val="3FAE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5D2CDB"/>
    <w:multiLevelType w:val="hybridMultilevel"/>
    <w:tmpl w:val="07B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C7AD7"/>
    <w:multiLevelType w:val="multilevel"/>
    <w:tmpl w:val="9D6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93E9E"/>
    <w:multiLevelType w:val="hybridMultilevel"/>
    <w:tmpl w:val="FE1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DD63D7"/>
    <w:multiLevelType w:val="hybridMultilevel"/>
    <w:tmpl w:val="02B43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
  </w:num>
  <w:num w:numId="5">
    <w:abstractNumId w:val="17"/>
  </w:num>
  <w:num w:numId="6">
    <w:abstractNumId w:val="16"/>
  </w:num>
  <w:num w:numId="7">
    <w:abstractNumId w:val="13"/>
  </w:num>
  <w:num w:numId="8">
    <w:abstractNumId w:val="9"/>
  </w:num>
  <w:num w:numId="9">
    <w:abstractNumId w:val="4"/>
  </w:num>
  <w:num w:numId="10">
    <w:abstractNumId w:val="6"/>
  </w:num>
  <w:num w:numId="11">
    <w:abstractNumId w:val="15"/>
  </w:num>
  <w:num w:numId="12">
    <w:abstractNumId w:val="10"/>
  </w:num>
  <w:num w:numId="13">
    <w:abstractNumId w:val="11"/>
  </w:num>
  <w:num w:numId="14">
    <w:abstractNumId w:val="7"/>
  </w:num>
  <w:num w:numId="15">
    <w:abstractNumId w:val="3"/>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13"/>
    <w:rsid w:val="00033F9E"/>
    <w:rsid w:val="00065E4B"/>
    <w:rsid w:val="00076BA7"/>
    <w:rsid w:val="000A7AD0"/>
    <w:rsid w:val="000E1DCB"/>
    <w:rsid w:val="00125242"/>
    <w:rsid w:val="00136A4B"/>
    <w:rsid w:val="00184A31"/>
    <w:rsid w:val="001E2729"/>
    <w:rsid w:val="001F312A"/>
    <w:rsid w:val="00206D13"/>
    <w:rsid w:val="0029018E"/>
    <w:rsid w:val="00296C84"/>
    <w:rsid w:val="002B789F"/>
    <w:rsid w:val="002D1825"/>
    <w:rsid w:val="002E0169"/>
    <w:rsid w:val="002E06A4"/>
    <w:rsid w:val="00322FDF"/>
    <w:rsid w:val="00361660"/>
    <w:rsid w:val="00394ABD"/>
    <w:rsid w:val="003D2003"/>
    <w:rsid w:val="003F0A93"/>
    <w:rsid w:val="00403650"/>
    <w:rsid w:val="00445646"/>
    <w:rsid w:val="00450E9C"/>
    <w:rsid w:val="00483306"/>
    <w:rsid w:val="004A085B"/>
    <w:rsid w:val="004A2131"/>
    <w:rsid w:val="004A4891"/>
    <w:rsid w:val="004C4F24"/>
    <w:rsid w:val="004D56BE"/>
    <w:rsid w:val="004E3790"/>
    <w:rsid w:val="004E3E8B"/>
    <w:rsid w:val="0051552D"/>
    <w:rsid w:val="0052306E"/>
    <w:rsid w:val="0053232D"/>
    <w:rsid w:val="00545941"/>
    <w:rsid w:val="0056472D"/>
    <w:rsid w:val="00571E52"/>
    <w:rsid w:val="00571E92"/>
    <w:rsid w:val="005A543F"/>
    <w:rsid w:val="005D46F3"/>
    <w:rsid w:val="005D5CB0"/>
    <w:rsid w:val="005F29BF"/>
    <w:rsid w:val="00606D0D"/>
    <w:rsid w:val="00607907"/>
    <w:rsid w:val="0061630D"/>
    <w:rsid w:val="00630AF1"/>
    <w:rsid w:val="00672454"/>
    <w:rsid w:val="006839F6"/>
    <w:rsid w:val="0069475A"/>
    <w:rsid w:val="00697571"/>
    <w:rsid w:val="006A7A5B"/>
    <w:rsid w:val="006B3F0B"/>
    <w:rsid w:val="006B41E4"/>
    <w:rsid w:val="006C67B9"/>
    <w:rsid w:val="006C787B"/>
    <w:rsid w:val="00774623"/>
    <w:rsid w:val="00785AAB"/>
    <w:rsid w:val="007B2E57"/>
    <w:rsid w:val="00880413"/>
    <w:rsid w:val="008826F5"/>
    <w:rsid w:val="008A6C49"/>
    <w:rsid w:val="008B03CD"/>
    <w:rsid w:val="00941D2D"/>
    <w:rsid w:val="00963599"/>
    <w:rsid w:val="00976CCA"/>
    <w:rsid w:val="00977BAA"/>
    <w:rsid w:val="009B5F6E"/>
    <w:rsid w:val="009F4014"/>
    <w:rsid w:val="009F4B76"/>
    <w:rsid w:val="00A05126"/>
    <w:rsid w:val="00B13E7F"/>
    <w:rsid w:val="00B16B78"/>
    <w:rsid w:val="00B75C7A"/>
    <w:rsid w:val="00B76630"/>
    <w:rsid w:val="00B80CC2"/>
    <w:rsid w:val="00B9795B"/>
    <w:rsid w:val="00BB417D"/>
    <w:rsid w:val="00BC3A54"/>
    <w:rsid w:val="00BD71AF"/>
    <w:rsid w:val="00C05712"/>
    <w:rsid w:val="00C05750"/>
    <w:rsid w:val="00C35552"/>
    <w:rsid w:val="00C7396E"/>
    <w:rsid w:val="00C95E8F"/>
    <w:rsid w:val="00CA29E7"/>
    <w:rsid w:val="00CD43A6"/>
    <w:rsid w:val="00CE7C17"/>
    <w:rsid w:val="00D01447"/>
    <w:rsid w:val="00D33CB6"/>
    <w:rsid w:val="00D673F4"/>
    <w:rsid w:val="00D755BA"/>
    <w:rsid w:val="00D87440"/>
    <w:rsid w:val="00DA4FA6"/>
    <w:rsid w:val="00DC1168"/>
    <w:rsid w:val="00DE2C2C"/>
    <w:rsid w:val="00E0692E"/>
    <w:rsid w:val="00E20C02"/>
    <w:rsid w:val="00E70D0F"/>
    <w:rsid w:val="00E91FFE"/>
    <w:rsid w:val="00EA3289"/>
    <w:rsid w:val="00EC0DE0"/>
    <w:rsid w:val="00F03D9C"/>
    <w:rsid w:val="00F44BEA"/>
    <w:rsid w:val="00F70092"/>
    <w:rsid w:val="00FD0A52"/>
    <w:rsid w:val="00FD2EE3"/>
    <w:rsid w:val="00FE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0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character" w:customStyle="1" w:styleId="UnresolvedMention">
    <w:name w:val="Unresolved Mention"/>
    <w:basedOn w:val="DefaultParagraphFont"/>
    <w:uiPriority w:val="99"/>
    <w:semiHidden/>
    <w:unhideWhenUsed/>
    <w:rsid w:val="005D5CB0"/>
    <w:rPr>
      <w:color w:val="605E5C"/>
      <w:shd w:val="clear" w:color="auto" w:fill="E1DFDD"/>
    </w:rPr>
  </w:style>
  <w:style w:type="paragraph" w:styleId="Quote">
    <w:name w:val="Quote"/>
    <w:basedOn w:val="Normal"/>
    <w:next w:val="Normal"/>
    <w:link w:val="QuoteChar"/>
    <w:uiPriority w:val="29"/>
    <w:qFormat/>
    <w:rsid w:val="005F29BF"/>
    <w:pPr>
      <w:spacing w:before="200" w:after="160"/>
      <w:ind w:left="864" w:right="864"/>
      <w:jc w:val="center"/>
    </w:pPr>
    <w:rPr>
      <w:rFonts w:ascii="Calibri" w:eastAsia="Calibri" w:hAnsi="Calibri" w:cs="Times New Roman"/>
      <w:i/>
      <w:iCs/>
      <w:color w:val="404040" w:themeColor="text1" w:themeTint="BF"/>
      <w:lang w:val="en-US"/>
    </w:rPr>
  </w:style>
  <w:style w:type="character" w:customStyle="1" w:styleId="QuoteChar">
    <w:name w:val="Quote Char"/>
    <w:basedOn w:val="DefaultParagraphFont"/>
    <w:link w:val="Quote"/>
    <w:uiPriority w:val="29"/>
    <w:rsid w:val="005F29BF"/>
    <w:rPr>
      <w:rFonts w:ascii="Calibri" w:eastAsia="Calibri" w:hAnsi="Calibri" w:cs="Times New Roman"/>
      <w:i/>
      <w:iCs/>
      <w:color w:val="404040" w:themeColor="text1" w:themeTint="BF"/>
      <w:lang w:val="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5F29BF"/>
  </w:style>
  <w:style w:type="character" w:styleId="CommentReference">
    <w:name w:val="annotation reference"/>
    <w:basedOn w:val="DefaultParagraphFont"/>
    <w:uiPriority w:val="99"/>
    <w:semiHidden/>
    <w:unhideWhenUsed/>
    <w:rsid w:val="004A085B"/>
    <w:rPr>
      <w:sz w:val="16"/>
      <w:szCs w:val="16"/>
    </w:rPr>
  </w:style>
  <w:style w:type="paragraph" w:styleId="CommentText">
    <w:name w:val="annotation text"/>
    <w:basedOn w:val="Normal"/>
    <w:link w:val="CommentTextChar"/>
    <w:uiPriority w:val="99"/>
    <w:semiHidden/>
    <w:unhideWhenUsed/>
    <w:rsid w:val="004A085B"/>
    <w:pPr>
      <w:spacing w:line="240" w:lineRule="auto"/>
    </w:pPr>
    <w:rPr>
      <w:sz w:val="20"/>
      <w:szCs w:val="20"/>
    </w:rPr>
  </w:style>
  <w:style w:type="character" w:customStyle="1" w:styleId="CommentTextChar">
    <w:name w:val="Comment Text Char"/>
    <w:basedOn w:val="DefaultParagraphFont"/>
    <w:link w:val="CommentText"/>
    <w:uiPriority w:val="99"/>
    <w:semiHidden/>
    <w:rsid w:val="004A085B"/>
    <w:rPr>
      <w:sz w:val="20"/>
      <w:szCs w:val="20"/>
    </w:rPr>
  </w:style>
  <w:style w:type="paragraph" w:styleId="CommentSubject">
    <w:name w:val="annotation subject"/>
    <w:basedOn w:val="CommentText"/>
    <w:next w:val="CommentText"/>
    <w:link w:val="CommentSubjectChar"/>
    <w:uiPriority w:val="99"/>
    <w:semiHidden/>
    <w:unhideWhenUsed/>
    <w:rsid w:val="004A085B"/>
    <w:rPr>
      <w:b/>
      <w:bCs/>
    </w:rPr>
  </w:style>
  <w:style w:type="character" w:customStyle="1" w:styleId="CommentSubjectChar">
    <w:name w:val="Comment Subject Char"/>
    <w:basedOn w:val="CommentTextChar"/>
    <w:link w:val="CommentSubject"/>
    <w:uiPriority w:val="99"/>
    <w:semiHidden/>
    <w:rsid w:val="004A085B"/>
    <w:rPr>
      <w:b/>
      <w:bCs/>
      <w:sz w:val="20"/>
      <w:szCs w:val="20"/>
    </w:rPr>
  </w:style>
  <w:style w:type="paragraph" w:styleId="BalloonText">
    <w:name w:val="Balloon Text"/>
    <w:basedOn w:val="Normal"/>
    <w:link w:val="BalloonTextChar"/>
    <w:uiPriority w:val="99"/>
    <w:semiHidden/>
    <w:unhideWhenUsed/>
    <w:rsid w:val="004A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5B"/>
    <w:rPr>
      <w:rFonts w:ascii="Segoe UI" w:hAnsi="Segoe UI" w:cs="Segoe UI"/>
      <w:sz w:val="18"/>
      <w:szCs w:val="18"/>
    </w:rPr>
  </w:style>
  <w:style w:type="paragraph" w:styleId="Revision">
    <w:name w:val="Revision"/>
    <w:hidden/>
    <w:uiPriority w:val="99"/>
    <w:semiHidden/>
    <w:rsid w:val="00065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character" w:customStyle="1" w:styleId="UnresolvedMention">
    <w:name w:val="Unresolved Mention"/>
    <w:basedOn w:val="DefaultParagraphFont"/>
    <w:uiPriority w:val="99"/>
    <w:semiHidden/>
    <w:unhideWhenUsed/>
    <w:rsid w:val="005D5CB0"/>
    <w:rPr>
      <w:color w:val="605E5C"/>
      <w:shd w:val="clear" w:color="auto" w:fill="E1DFDD"/>
    </w:rPr>
  </w:style>
  <w:style w:type="paragraph" w:styleId="Quote">
    <w:name w:val="Quote"/>
    <w:basedOn w:val="Normal"/>
    <w:next w:val="Normal"/>
    <w:link w:val="QuoteChar"/>
    <w:uiPriority w:val="29"/>
    <w:qFormat/>
    <w:rsid w:val="005F29BF"/>
    <w:pPr>
      <w:spacing w:before="200" w:after="160"/>
      <w:ind w:left="864" w:right="864"/>
      <w:jc w:val="center"/>
    </w:pPr>
    <w:rPr>
      <w:rFonts w:ascii="Calibri" w:eastAsia="Calibri" w:hAnsi="Calibri" w:cs="Times New Roman"/>
      <w:i/>
      <w:iCs/>
      <w:color w:val="404040" w:themeColor="text1" w:themeTint="BF"/>
      <w:lang w:val="en-US"/>
    </w:rPr>
  </w:style>
  <w:style w:type="character" w:customStyle="1" w:styleId="QuoteChar">
    <w:name w:val="Quote Char"/>
    <w:basedOn w:val="DefaultParagraphFont"/>
    <w:link w:val="Quote"/>
    <w:uiPriority w:val="29"/>
    <w:rsid w:val="005F29BF"/>
    <w:rPr>
      <w:rFonts w:ascii="Calibri" w:eastAsia="Calibri" w:hAnsi="Calibri" w:cs="Times New Roman"/>
      <w:i/>
      <w:iCs/>
      <w:color w:val="404040" w:themeColor="text1" w:themeTint="BF"/>
      <w:lang w:val="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5F29BF"/>
  </w:style>
  <w:style w:type="character" w:styleId="CommentReference">
    <w:name w:val="annotation reference"/>
    <w:basedOn w:val="DefaultParagraphFont"/>
    <w:uiPriority w:val="99"/>
    <w:semiHidden/>
    <w:unhideWhenUsed/>
    <w:rsid w:val="004A085B"/>
    <w:rPr>
      <w:sz w:val="16"/>
      <w:szCs w:val="16"/>
    </w:rPr>
  </w:style>
  <w:style w:type="paragraph" w:styleId="CommentText">
    <w:name w:val="annotation text"/>
    <w:basedOn w:val="Normal"/>
    <w:link w:val="CommentTextChar"/>
    <w:uiPriority w:val="99"/>
    <w:semiHidden/>
    <w:unhideWhenUsed/>
    <w:rsid w:val="004A085B"/>
    <w:pPr>
      <w:spacing w:line="240" w:lineRule="auto"/>
    </w:pPr>
    <w:rPr>
      <w:sz w:val="20"/>
      <w:szCs w:val="20"/>
    </w:rPr>
  </w:style>
  <w:style w:type="character" w:customStyle="1" w:styleId="CommentTextChar">
    <w:name w:val="Comment Text Char"/>
    <w:basedOn w:val="DefaultParagraphFont"/>
    <w:link w:val="CommentText"/>
    <w:uiPriority w:val="99"/>
    <w:semiHidden/>
    <w:rsid w:val="004A085B"/>
    <w:rPr>
      <w:sz w:val="20"/>
      <w:szCs w:val="20"/>
    </w:rPr>
  </w:style>
  <w:style w:type="paragraph" w:styleId="CommentSubject">
    <w:name w:val="annotation subject"/>
    <w:basedOn w:val="CommentText"/>
    <w:next w:val="CommentText"/>
    <w:link w:val="CommentSubjectChar"/>
    <w:uiPriority w:val="99"/>
    <w:semiHidden/>
    <w:unhideWhenUsed/>
    <w:rsid w:val="004A085B"/>
    <w:rPr>
      <w:b/>
      <w:bCs/>
    </w:rPr>
  </w:style>
  <w:style w:type="character" w:customStyle="1" w:styleId="CommentSubjectChar">
    <w:name w:val="Comment Subject Char"/>
    <w:basedOn w:val="CommentTextChar"/>
    <w:link w:val="CommentSubject"/>
    <w:uiPriority w:val="99"/>
    <w:semiHidden/>
    <w:rsid w:val="004A085B"/>
    <w:rPr>
      <w:b/>
      <w:bCs/>
      <w:sz w:val="20"/>
      <w:szCs w:val="20"/>
    </w:rPr>
  </w:style>
  <w:style w:type="paragraph" w:styleId="BalloonText">
    <w:name w:val="Balloon Text"/>
    <w:basedOn w:val="Normal"/>
    <w:link w:val="BalloonTextChar"/>
    <w:uiPriority w:val="99"/>
    <w:semiHidden/>
    <w:unhideWhenUsed/>
    <w:rsid w:val="004A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5B"/>
    <w:rPr>
      <w:rFonts w:ascii="Segoe UI" w:hAnsi="Segoe UI" w:cs="Segoe UI"/>
      <w:sz w:val="18"/>
      <w:szCs w:val="18"/>
    </w:rPr>
  </w:style>
  <w:style w:type="paragraph" w:styleId="Revision">
    <w:name w:val="Revision"/>
    <w:hidden/>
    <w:uiPriority w:val="99"/>
    <w:semiHidden/>
    <w:rsid w:val="0006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5382">
      <w:bodyDiv w:val="1"/>
      <w:marLeft w:val="0"/>
      <w:marRight w:val="0"/>
      <w:marTop w:val="0"/>
      <w:marBottom w:val="0"/>
      <w:divBdr>
        <w:top w:val="none" w:sz="0" w:space="0" w:color="auto"/>
        <w:left w:val="none" w:sz="0" w:space="0" w:color="auto"/>
        <w:bottom w:val="none" w:sz="0" w:space="0" w:color="auto"/>
        <w:right w:val="none" w:sz="0" w:space="0" w:color="auto"/>
      </w:divBdr>
    </w:div>
    <w:div w:id="677540148">
      <w:bodyDiv w:val="1"/>
      <w:marLeft w:val="0"/>
      <w:marRight w:val="0"/>
      <w:marTop w:val="0"/>
      <w:marBottom w:val="0"/>
      <w:divBdr>
        <w:top w:val="none" w:sz="0" w:space="0" w:color="auto"/>
        <w:left w:val="none" w:sz="0" w:space="0" w:color="auto"/>
        <w:bottom w:val="none" w:sz="0" w:space="0" w:color="auto"/>
        <w:right w:val="none" w:sz="0" w:space="0" w:color="auto"/>
      </w:divBdr>
    </w:div>
    <w:div w:id="10639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panmerseyapc.nhs.uk/media/1568/botulinum_anal_201805_ps67_v0300.pdf" TargetMode="External"/><Relationship Id="rId18" Type="http://schemas.openxmlformats.org/officeDocument/2006/relationships/hyperlink" Target="http://guidance.nice.org.uk/CG97" TargetMode="External"/><Relationship Id="rId26" Type="http://schemas.openxmlformats.org/officeDocument/2006/relationships/hyperlink" Target="http://guidance.nice.org.uk/CG171" TargetMode="External"/><Relationship Id="rId3" Type="http://schemas.openxmlformats.org/officeDocument/2006/relationships/customXml" Target="../customXml/item3.xml"/><Relationship Id="rId21" Type="http://schemas.openxmlformats.org/officeDocument/2006/relationships/hyperlink" Target="https://www.nice.org.uk/guidance/ta26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guidance.nice.org.uk/CG171" TargetMode="External"/><Relationship Id="rId25" Type="http://schemas.openxmlformats.org/officeDocument/2006/relationships/hyperlink" Target="https://www.nice.org.uk/guidance/cg186"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ice.org.uk/guidance/ta260" TargetMode="External"/><Relationship Id="rId20" Type="http://schemas.openxmlformats.org/officeDocument/2006/relationships/hyperlink" Target="https://www.panmerseyapc.nhs.uk/media/1067/botulinum_hidrosis_201507_ps145_v010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hra.gov.uk/home/groups/par/documents/websiteresources/con108643.pdf"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panmerseyapc.nhs.uk/media/1067/botulinum_hidrosis_201507_ps145_v0101.pdf" TargetMode="External"/><Relationship Id="rId23" Type="http://schemas.openxmlformats.org/officeDocument/2006/relationships/hyperlink" Target="http://www.nhs.uk/conditions/dystonia/Pages/Introduction.aspx"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nice.org.uk/guidance/cg159"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ice.org.uk/guidance/cg159" TargetMode="External"/><Relationship Id="rId22" Type="http://schemas.openxmlformats.org/officeDocument/2006/relationships/hyperlink" Target="https://www.nice.org.uk/guidance/cg145/chapter/1-guidance" TargetMode="External"/><Relationship Id="rId27" Type="http://schemas.openxmlformats.org/officeDocument/2006/relationships/hyperlink" Target="http://guidance.nice.org.uk/CG97"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3826a4-e976-47da-ad2b-3be0c0f0d5f0">MLCSU-1322550739-227700</_dlc_DocId>
    <_dlc_DocIdUrl xmlns="2b3826a4-e976-47da-ad2b-3be0c0f0d5f0">
      <Url>https://csucloudservices.sharepoint.com/sites/CSU/IFR/_layouts/15/DocIdRedir.aspx?ID=MLCSU-1322550739-227700</Url>
      <Description>MLCSU-1322550739-227700</Description>
    </_dlc_DocIdUrl>
    <_dlc_DocIdPersistId xmlns="2b3826a4-e976-47da-ad2b-3be0c0f0d5f0">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C218D872C3DA459BB36621E3E0617B" ma:contentTypeVersion="476" ma:contentTypeDescription="Create a new document." ma:contentTypeScope="" ma:versionID="c12a86360b939897b0fec915b1b0d9c5">
  <xsd:schema xmlns:xsd="http://www.w3.org/2001/XMLSchema" xmlns:xs="http://www.w3.org/2001/XMLSchema" xmlns:p="http://schemas.microsoft.com/office/2006/metadata/properties" xmlns:ns2="2b3826a4-e976-47da-ad2b-3be0c0f0d5f0" xmlns:ns3="f34e2be9-1cbf-49ac-ae29-d38c92586a2e" targetNamespace="http://schemas.microsoft.com/office/2006/metadata/properties" ma:root="true" ma:fieldsID="baffc2d5fe5e59a8b05cf45f2cfecfa2" ns2:_="" ns3:_="">
    <xsd:import namespace="2b3826a4-e976-47da-ad2b-3be0c0f0d5f0"/>
    <xsd:import namespace="f34e2be9-1cbf-49ac-ae29-d38c92586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e2be9-1cbf-49ac-ae29-d38c92586a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0E9F-8003-41F6-8BB8-078E630AA3C8}">
  <ds:schemaRefs>
    <ds:schemaRef ds:uri="http://schemas.microsoft.com/sharepoint/v3/contenttype/forms"/>
  </ds:schemaRefs>
</ds:datastoreItem>
</file>

<file path=customXml/itemProps2.xml><?xml version="1.0" encoding="utf-8"?>
<ds:datastoreItem xmlns:ds="http://schemas.openxmlformats.org/officeDocument/2006/customXml" ds:itemID="{7ED8895B-7E95-41A7-8946-FF496E578015}">
  <ds:schemaRefs>
    <ds:schemaRef ds:uri="http://schemas.microsoft.com/office/2006/metadata/properties"/>
    <ds:schemaRef ds:uri="http://schemas.microsoft.com/office/infopath/2007/PartnerControls"/>
    <ds:schemaRef ds:uri="2b3826a4-e976-47da-ad2b-3be0c0f0d5f0"/>
  </ds:schemaRefs>
</ds:datastoreItem>
</file>

<file path=customXml/itemProps3.xml><?xml version="1.0" encoding="utf-8"?>
<ds:datastoreItem xmlns:ds="http://schemas.openxmlformats.org/officeDocument/2006/customXml" ds:itemID="{D45513BB-22BB-41F5-BABF-6EE133326DD7}">
  <ds:schemaRefs>
    <ds:schemaRef ds:uri="http://schemas.microsoft.com/sharepoint/events"/>
  </ds:schemaRefs>
</ds:datastoreItem>
</file>

<file path=customXml/itemProps4.xml><?xml version="1.0" encoding="utf-8"?>
<ds:datastoreItem xmlns:ds="http://schemas.openxmlformats.org/officeDocument/2006/customXml" ds:itemID="{F89CAF63-D123-45B4-97A2-3157EB412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f34e2be9-1cbf-49ac-ae29-d38c92586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6EE4C6-758C-4BF2-AA36-3F0248B0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Walker Fran</cp:lastModifiedBy>
  <cp:revision>1</cp:revision>
  <cp:lastPrinted>2016-11-22T13:01:00Z</cp:lastPrinted>
  <dcterms:created xsi:type="dcterms:W3CDTF">2020-01-29T10:50:00Z</dcterms:created>
  <dcterms:modified xsi:type="dcterms:W3CDTF">2020-01-29T10:50:00Z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0x01010026C218D872C3DA459BB36621E3E0617B</vt:lpwstr>
  </property>
  <property fmtid="{D5CDD505-2E9C-101B-9397-08002B2CF9AE}" pid="3" name="_dlc_DocIdItemGuid">
    <vt:lpwstr>4205c409-30d7-476c-abd2-10a594e8e561</vt:lpwstr>
  </property>
  <property fmtid="{D5CDD505-2E9C-101B-9397-08002B2CF9AE}" pid="4" name="Order">
    <vt:r8>20919600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Review Lead">
    <vt:lpwstr/>
  </property>
  <property fmtid="{D5CDD505-2E9C-101B-9397-08002B2CF9AE}" pid="10" name="Add policy name to Document Title">
    <vt:lpwstr>, </vt:lpwstr>
  </property>
</Properties>
</file>